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92F7" w14:textId="77777777" w:rsidR="009E1D87" w:rsidRPr="0034786C" w:rsidRDefault="009E1D87" w:rsidP="002A3022">
      <w:pPr>
        <w:spacing w:line="360" w:lineRule="auto"/>
        <w:jc w:val="both"/>
        <w:rPr>
          <w:rFonts w:ascii="Arial" w:hAnsi="Arial" w:cs="Arial"/>
          <w:color w:val="212121"/>
        </w:rPr>
      </w:pPr>
    </w:p>
    <w:p w14:paraId="483484D3" w14:textId="77777777" w:rsidR="009E1D87" w:rsidRDefault="009E1D87" w:rsidP="002A3022">
      <w:pPr>
        <w:spacing w:line="360" w:lineRule="auto"/>
        <w:jc w:val="both"/>
        <w:rPr>
          <w:rFonts w:ascii="Arial" w:hAnsi="Arial" w:cs="Arial"/>
          <w:color w:val="212121"/>
        </w:rPr>
      </w:pPr>
    </w:p>
    <w:p w14:paraId="4BCBC846" w14:textId="77777777" w:rsidR="002A3022" w:rsidRDefault="002A3022" w:rsidP="002A3022">
      <w:pPr>
        <w:spacing w:line="360" w:lineRule="auto"/>
        <w:jc w:val="both"/>
        <w:rPr>
          <w:rFonts w:ascii="Arial" w:hAnsi="Arial" w:cs="Arial"/>
          <w:color w:val="212121"/>
        </w:rPr>
      </w:pPr>
    </w:p>
    <w:p w14:paraId="7123C5E2" w14:textId="77777777" w:rsidR="002A3022" w:rsidRDefault="002A3022" w:rsidP="002A3022">
      <w:pPr>
        <w:spacing w:line="360" w:lineRule="auto"/>
        <w:jc w:val="both"/>
        <w:rPr>
          <w:rFonts w:ascii="Arial" w:hAnsi="Arial" w:cs="Arial"/>
          <w:color w:val="212121"/>
        </w:rPr>
      </w:pPr>
    </w:p>
    <w:p w14:paraId="28C21346" w14:textId="77777777" w:rsidR="002A3022" w:rsidRDefault="002A3022" w:rsidP="002A3022">
      <w:pPr>
        <w:spacing w:line="360" w:lineRule="auto"/>
        <w:jc w:val="both"/>
        <w:rPr>
          <w:rFonts w:ascii="Arial" w:hAnsi="Arial" w:cs="Arial"/>
          <w:color w:val="212121"/>
        </w:rPr>
      </w:pPr>
    </w:p>
    <w:p w14:paraId="5CF824DA" w14:textId="77777777" w:rsidR="002A3022" w:rsidRPr="0034786C" w:rsidRDefault="002A3022" w:rsidP="002A3022">
      <w:pPr>
        <w:spacing w:line="360" w:lineRule="auto"/>
        <w:jc w:val="both"/>
        <w:rPr>
          <w:rFonts w:ascii="Arial" w:hAnsi="Arial" w:cs="Arial"/>
          <w:color w:val="212121"/>
        </w:rPr>
      </w:pPr>
    </w:p>
    <w:p w14:paraId="4420AE72" w14:textId="29821459" w:rsidR="002A3022" w:rsidRPr="002A3022" w:rsidRDefault="002A3022" w:rsidP="002A3022">
      <w:pPr>
        <w:spacing w:line="360" w:lineRule="auto"/>
        <w:jc w:val="center"/>
        <w:rPr>
          <w:rFonts w:ascii="Arial" w:hAnsi="Arial" w:cs="Arial"/>
          <w:b/>
          <w:bCs/>
          <w:color w:val="212121"/>
          <w:sz w:val="52"/>
          <w:szCs w:val="52"/>
        </w:rPr>
      </w:pPr>
      <w:r w:rsidRPr="002A3022">
        <w:rPr>
          <w:rFonts w:ascii="Arial" w:hAnsi="Arial" w:cs="Arial"/>
          <w:b/>
          <w:bCs/>
          <w:color w:val="212121"/>
          <w:sz w:val="52"/>
          <w:szCs w:val="52"/>
        </w:rPr>
        <w:t>BORRADOR PARA EL DEBATE DEL PRIMER DOCUMENTO DE TRABAJO DEL GRUPO</w:t>
      </w:r>
    </w:p>
    <w:p w14:paraId="26EEC625" w14:textId="77777777" w:rsidR="009E1D87" w:rsidRDefault="002A3022" w:rsidP="002A3022">
      <w:pPr>
        <w:spacing w:line="360" w:lineRule="auto"/>
        <w:jc w:val="center"/>
        <w:rPr>
          <w:rFonts w:ascii="Arial" w:hAnsi="Arial" w:cs="Arial"/>
          <w:b/>
          <w:bCs/>
          <w:color w:val="212121"/>
          <w:sz w:val="52"/>
          <w:szCs w:val="52"/>
        </w:rPr>
      </w:pPr>
      <w:r w:rsidRPr="002A3022">
        <w:rPr>
          <w:rFonts w:ascii="Arial" w:hAnsi="Arial" w:cs="Arial"/>
          <w:b/>
          <w:bCs/>
          <w:color w:val="212121"/>
          <w:sz w:val="52"/>
          <w:szCs w:val="52"/>
        </w:rPr>
        <w:t>“RECONOCIMIENTO RECÍPROCO DE CERTIFICACIONES EN EL ÁMBITO DE LAS COMPETENCIAS GERENCIALES DE LAS ADMINISTRACIONES PÚBLICAS”</w:t>
      </w:r>
    </w:p>
    <w:p w14:paraId="66E75198" w14:textId="77777777" w:rsidR="002A3022" w:rsidRDefault="002A3022" w:rsidP="002A3022">
      <w:pPr>
        <w:spacing w:line="360" w:lineRule="auto"/>
        <w:jc w:val="center"/>
        <w:rPr>
          <w:rFonts w:ascii="Arial" w:hAnsi="Arial" w:cs="Arial"/>
          <w:b/>
          <w:bCs/>
          <w:color w:val="212121"/>
          <w:sz w:val="52"/>
          <w:szCs w:val="52"/>
        </w:rPr>
      </w:pPr>
    </w:p>
    <w:p w14:paraId="46517915" w14:textId="77777777" w:rsidR="002A3022" w:rsidRDefault="002A3022" w:rsidP="002A3022">
      <w:pPr>
        <w:spacing w:line="360" w:lineRule="auto"/>
        <w:jc w:val="center"/>
        <w:rPr>
          <w:rFonts w:ascii="Arial" w:hAnsi="Arial" w:cs="Arial"/>
          <w:b/>
          <w:bCs/>
          <w:color w:val="212121"/>
          <w:sz w:val="52"/>
          <w:szCs w:val="52"/>
        </w:rPr>
      </w:pPr>
    </w:p>
    <w:p w14:paraId="719FC213" w14:textId="77777777" w:rsidR="002A3022" w:rsidRDefault="002A3022" w:rsidP="002A3022">
      <w:pPr>
        <w:spacing w:line="360" w:lineRule="auto"/>
        <w:jc w:val="center"/>
        <w:rPr>
          <w:rFonts w:ascii="Arial" w:hAnsi="Arial" w:cs="Arial"/>
          <w:b/>
          <w:bCs/>
          <w:color w:val="212121"/>
          <w:sz w:val="52"/>
          <w:szCs w:val="52"/>
        </w:rPr>
      </w:pPr>
    </w:p>
    <w:p w14:paraId="4448D599" w14:textId="78F4A863" w:rsidR="002A3022" w:rsidRPr="002A3022" w:rsidRDefault="002A3022" w:rsidP="002A3022">
      <w:pPr>
        <w:spacing w:line="360" w:lineRule="auto"/>
        <w:jc w:val="right"/>
        <w:rPr>
          <w:rFonts w:ascii="Arial" w:hAnsi="Arial" w:cs="Arial"/>
          <w:b/>
          <w:bCs/>
          <w:color w:val="212121"/>
        </w:rPr>
        <w:sectPr w:rsidR="002A3022" w:rsidRPr="002A3022">
          <w:footerReference w:type="even" r:id="rId7"/>
          <w:footerReference w:type="default" r:id="rId8"/>
          <w:pgSz w:w="11906" w:h="16838"/>
          <w:pgMar w:top="1417" w:right="1701" w:bottom="1417" w:left="1701" w:header="708" w:footer="708" w:gutter="0"/>
          <w:cols w:space="708"/>
          <w:docGrid w:linePitch="360"/>
        </w:sectPr>
      </w:pPr>
      <w:r>
        <w:rPr>
          <w:rFonts w:ascii="Arial" w:hAnsi="Arial" w:cs="Arial"/>
          <w:b/>
          <w:bCs/>
          <w:color w:val="212121"/>
        </w:rPr>
        <w:t>Febrero, 2026</w:t>
      </w:r>
    </w:p>
    <w:p w14:paraId="0ED3F103" w14:textId="77777777" w:rsidR="002A3022" w:rsidRDefault="002A3022" w:rsidP="002A3022">
      <w:pPr>
        <w:spacing w:line="360" w:lineRule="auto"/>
        <w:jc w:val="both"/>
        <w:rPr>
          <w:rStyle w:val="ng-star-inserted"/>
          <w:rFonts w:ascii="Arial" w:eastAsiaTheme="majorEastAsia" w:hAnsi="Arial" w:cs="Arial"/>
          <w:b/>
          <w:bCs/>
        </w:rPr>
      </w:pPr>
    </w:p>
    <w:p w14:paraId="4EB77549" w14:textId="77777777" w:rsidR="002A3022" w:rsidRDefault="002A3022" w:rsidP="002A3022">
      <w:pPr>
        <w:spacing w:line="360" w:lineRule="auto"/>
        <w:jc w:val="both"/>
        <w:rPr>
          <w:rStyle w:val="ng-star-inserted"/>
          <w:rFonts w:ascii="Arial" w:eastAsiaTheme="majorEastAsia" w:hAnsi="Arial" w:cs="Arial"/>
          <w:b/>
          <w:bCs/>
        </w:rPr>
      </w:pPr>
    </w:p>
    <w:p w14:paraId="38FBE3EE" w14:textId="73D1B270" w:rsidR="009E1D87" w:rsidRPr="0034786C" w:rsidRDefault="009E1D87" w:rsidP="002A3022">
      <w:pPr>
        <w:spacing w:line="360" w:lineRule="auto"/>
        <w:jc w:val="both"/>
        <w:rPr>
          <w:rStyle w:val="ng-star-inserted"/>
          <w:rFonts w:ascii="Arial" w:eastAsiaTheme="majorEastAsia" w:hAnsi="Arial" w:cs="Arial"/>
          <w:b/>
          <w:bCs/>
        </w:rPr>
      </w:pPr>
      <w:r w:rsidRPr="0034786C">
        <w:rPr>
          <w:rStyle w:val="ng-star-inserted"/>
          <w:rFonts w:ascii="Arial" w:eastAsiaTheme="majorEastAsia" w:hAnsi="Arial" w:cs="Arial"/>
          <w:b/>
          <w:bCs/>
        </w:rPr>
        <w:t>I.- EL PUNTO DE PARTIDA: REVISIÓN DE LOS DOCUMENTOS APORTADOS</w:t>
      </w:r>
    </w:p>
    <w:p w14:paraId="64156B22" w14:textId="77777777" w:rsidR="009E1D87" w:rsidRPr="0034786C" w:rsidRDefault="009E1D87" w:rsidP="002A3022">
      <w:pPr>
        <w:spacing w:line="360" w:lineRule="auto"/>
        <w:jc w:val="both"/>
        <w:rPr>
          <w:rStyle w:val="ng-star-inserted"/>
          <w:rFonts w:ascii="Arial" w:eastAsiaTheme="majorEastAsia" w:hAnsi="Arial" w:cs="Arial"/>
        </w:rPr>
      </w:pPr>
    </w:p>
    <w:p w14:paraId="1C82088D" w14:textId="05F59258"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El análisis de los modelos de gestión por competencias del Instituto Nacional de Administración Pública (INAP) y de los institutos de las Comunidades Autónomas de Andalucía, Asturias y Extremadura revela una clara tendencia hacia </w:t>
      </w:r>
      <w:r w:rsidRPr="0034786C">
        <w:rPr>
          <w:rStyle w:val="ng-star-inserted"/>
          <w:rFonts w:ascii="Arial" w:eastAsiaTheme="majorEastAsia" w:hAnsi="Arial" w:cs="Arial"/>
          <w:b/>
          <w:bCs/>
          <w:i/>
          <w:iCs/>
        </w:rPr>
        <w:t>la modernización de la función pública</w:t>
      </w:r>
      <w:r w:rsidRPr="0034786C">
        <w:rPr>
          <w:rStyle w:val="ng-star-inserted"/>
          <w:rFonts w:ascii="Arial" w:eastAsiaTheme="majorEastAsia" w:hAnsi="Arial" w:cs="Arial"/>
        </w:rPr>
        <w:t>, impulsada por la necesidad de adaptar las administraciones a los retos del siglo XXI.</w:t>
      </w:r>
    </w:p>
    <w:p w14:paraId="438EBDAC" w14:textId="77777777" w:rsidR="009E1D87" w:rsidRDefault="009E1D87" w:rsidP="002A3022">
      <w:pPr>
        <w:spacing w:line="360" w:lineRule="auto"/>
        <w:jc w:val="both"/>
        <w:rPr>
          <w:rStyle w:val="ng-star-inserted"/>
          <w:rFonts w:ascii="Arial" w:eastAsiaTheme="majorEastAsia" w:hAnsi="Arial" w:cs="Arial"/>
        </w:rPr>
      </w:pPr>
      <w:r w:rsidRPr="0034786C">
        <w:rPr>
          <w:rStyle w:val="ng-star-inserted"/>
          <w:rFonts w:ascii="Arial" w:eastAsiaTheme="majorEastAsia" w:hAnsi="Arial" w:cs="Arial"/>
        </w:rPr>
        <w:t>A continuación, se detallan las principales convergencias y divergencias extraídas de los documentos.</w:t>
      </w:r>
    </w:p>
    <w:p w14:paraId="6284D342" w14:textId="77777777" w:rsidR="0034786C" w:rsidRPr="0034786C" w:rsidRDefault="0034786C" w:rsidP="002A3022">
      <w:pPr>
        <w:spacing w:line="360" w:lineRule="auto"/>
        <w:jc w:val="both"/>
        <w:rPr>
          <w:rFonts w:ascii="Arial" w:hAnsi="Arial" w:cs="Arial"/>
        </w:rPr>
      </w:pPr>
    </w:p>
    <w:p w14:paraId="560F4F04" w14:textId="77777777" w:rsidR="009E1D87" w:rsidRPr="0034786C" w:rsidRDefault="009E1D87" w:rsidP="002A3022">
      <w:pPr>
        <w:spacing w:line="360" w:lineRule="auto"/>
        <w:jc w:val="both"/>
        <w:rPr>
          <w:rFonts w:ascii="Arial" w:hAnsi="Arial" w:cs="Arial"/>
          <w:b/>
          <w:bCs/>
          <w:i/>
          <w:iCs/>
          <w:u w:val="single"/>
        </w:rPr>
      </w:pPr>
      <w:r w:rsidRPr="0034786C">
        <w:rPr>
          <w:rStyle w:val="ng-star-inserted"/>
          <w:rFonts w:ascii="Arial" w:eastAsiaTheme="majorEastAsia" w:hAnsi="Arial" w:cs="Arial"/>
          <w:b/>
          <w:bCs/>
          <w:i/>
          <w:iCs/>
          <w:u w:val="single"/>
        </w:rPr>
        <w:t>Convergencias (Similitudes y Puntos de Encuentro)</w:t>
      </w:r>
    </w:p>
    <w:p w14:paraId="2C3C78B1" w14:textId="77777777" w:rsidR="0034786C" w:rsidRDefault="0034786C" w:rsidP="002A3022">
      <w:pPr>
        <w:spacing w:line="360" w:lineRule="auto"/>
        <w:jc w:val="both"/>
        <w:rPr>
          <w:rFonts w:ascii="Arial" w:hAnsi="Arial" w:cs="Arial"/>
          <w:b/>
          <w:bCs/>
        </w:rPr>
      </w:pPr>
    </w:p>
    <w:p w14:paraId="41CBD5BB" w14:textId="1CA976BA" w:rsidR="009E1D87" w:rsidRPr="0034786C" w:rsidRDefault="009E1D87" w:rsidP="002A3022">
      <w:pPr>
        <w:spacing w:line="360" w:lineRule="auto"/>
        <w:jc w:val="both"/>
        <w:rPr>
          <w:rFonts w:ascii="Arial" w:hAnsi="Arial" w:cs="Arial"/>
        </w:rPr>
      </w:pPr>
      <w:r w:rsidRPr="0034786C">
        <w:rPr>
          <w:rFonts w:ascii="Arial" w:hAnsi="Arial" w:cs="Arial"/>
          <w:b/>
          <w:bCs/>
        </w:rPr>
        <w:t>1. Centralidad de la Transformación Digital y los Datos:</w:t>
      </w:r>
      <w:r w:rsidRPr="0034786C">
        <w:rPr>
          <w:rStyle w:val="ng-star-inserted"/>
          <w:rFonts w:ascii="Arial" w:eastAsiaTheme="majorEastAsia" w:hAnsi="Arial" w:cs="Arial"/>
        </w:rPr>
        <w:t xml:space="preserve"> Todos los modelos analizados superan la ofimática básica y apuestan por competencias digitales avanzadas:</w:t>
      </w:r>
    </w:p>
    <w:p w14:paraId="43D351A2"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El </w:t>
      </w:r>
      <w:r w:rsidRPr="0034786C">
        <w:rPr>
          <w:rFonts w:ascii="Arial" w:hAnsi="Arial" w:cs="Arial"/>
          <w:b/>
          <w:bCs/>
        </w:rPr>
        <w:t>INAP</w:t>
      </w:r>
      <w:r w:rsidRPr="0034786C">
        <w:rPr>
          <w:rStyle w:val="ng-star-inserted"/>
          <w:rFonts w:ascii="Arial" w:eastAsiaTheme="majorEastAsia" w:hAnsi="Arial" w:cs="Arial"/>
        </w:rPr>
        <w:t xml:space="preserve"> cuenta con un Marco de Competencias Digitales que incluye el uso crítico y seguro de tecnologías, la gobernanza del dato y, recientemente, la Inteligencia Artificial.</w:t>
      </w:r>
    </w:p>
    <w:p w14:paraId="1CEF8081"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Andalucía</w:t>
      </w:r>
      <w:r w:rsidRPr="0034786C">
        <w:rPr>
          <w:rStyle w:val="ng-star-inserted"/>
          <w:rFonts w:ascii="Arial" w:eastAsiaTheme="majorEastAsia" w:hAnsi="Arial" w:cs="Arial"/>
        </w:rPr>
        <w:t xml:space="preserve"> define el clúster "Transformación y digitalización", enfocado en la gestión del cambio, la innovación en red y la adaptación a entornos </w:t>
      </w:r>
      <w:proofErr w:type="spellStart"/>
      <w:r w:rsidRPr="0034786C">
        <w:rPr>
          <w:rStyle w:val="ng-star-inserted"/>
          <w:rFonts w:ascii="Arial" w:eastAsiaTheme="majorEastAsia" w:hAnsi="Arial" w:cs="Arial"/>
        </w:rPr>
        <w:t>redárquicos</w:t>
      </w:r>
      <w:proofErr w:type="spellEnd"/>
      <w:r w:rsidRPr="0034786C">
        <w:rPr>
          <w:rStyle w:val="ng-star-inserted"/>
          <w:rFonts w:ascii="Arial" w:eastAsiaTheme="majorEastAsia" w:hAnsi="Arial" w:cs="Arial"/>
        </w:rPr>
        <w:t>.</w:t>
      </w:r>
    </w:p>
    <w:p w14:paraId="2B21A7BC" w14:textId="77777777" w:rsidR="009E1D87" w:rsidRPr="0034786C" w:rsidRDefault="009E1D87" w:rsidP="002A3022">
      <w:pPr>
        <w:spacing w:line="360" w:lineRule="auto"/>
        <w:jc w:val="both"/>
        <w:rPr>
          <w:rStyle w:val="ng-star-inserted"/>
          <w:rFonts w:ascii="Arial" w:eastAsiaTheme="majorEastAsia" w:hAnsi="Arial" w:cs="Arial"/>
        </w:rPr>
      </w:pPr>
      <w:r w:rsidRPr="0034786C">
        <w:rPr>
          <w:rStyle w:val="ng-star-inserted"/>
          <w:rFonts w:ascii="Arial" w:eastAsiaTheme="majorEastAsia" w:hAnsi="Arial" w:cs="Arial"/>
        </w:rPr>
        <w:t xml:space="preserve">• </w:t>
      </w:r>
      <w:r w:rsidRPr="0034786C">
        <w:rPr>
          <w:rFonts w:ascii="Arial" w:hAnsi="Arial" w:cs="Arial"/>
          <w:b/>
          <w:bCs/>
        </w:rPr>
        <w:t>Asturias</w:t>
      </w:r>
      <w:r w:rsidRPr="0034786C">
        <w:rPr>
          <w:rStyle w:val="ng-star-inserted"/>
          <w:rFonts w:ascii="Arial" w:eastAsiaTheme="majorEastAsia" w:hAnsi="Arial" w:cs="Arial"/>
        </w:rPr>
        <w:t>, en su Nuevo Mapa de Competencias, crea el área de "Madurez digital y gestión de la información", incorporando explícitamente la Inteligencia Artificial, la automatización y la ciberseguridad.</w:t>
      </w:r>
    </w:p>
    <w:p w14:paraId="1DC7B7F7" w14:textId="77777777" w:rsidR="00C27DBE" w:rsidRPr="0034786C" w:rsidRDefault="00C27DBE" w:rsidP="002A3022">
      <w:pPr>
        <w:spacing w:line="360" w:lineRule="auto"/>
        <w:jc w:val="both"/>
        <w:rPr>
          <w:rStyle w:val="ng-star-inserted"/>
          <w:rFonts w:ascii="Arial" w:eastAsiaTheme="majorEastAsia" w:hAnsi="Arial" w:cs="Arial"/>
        </w:rPr>
      </w:pPr>
    </w:p>
    <w:p w14:paraId="295F81E8" w14:textId="78B17D6C" w:rsidR="00C27DBE" w:rsidRPr="002A3022" w:rsidRDefault="00C27DBE" w:rsidP="002A3022">
      <w:pPr>
        <w:pStyle w:val="Prrafodelista"/>
        <w:numPr>
          <w:ilvl w:val="0"/>
          <w:numId w:val="1"/>
        </w:numPr>
        <w:spacing w:line="360" w:lineRule="auto"/>
        <w:jc w:val="both"/>
        <w:rPr>
          <w:rFonts w:ascii="Arial" w:hAnsi="Arial" w:cs="Arial"/>
        </w:rPr>
      </w:pPr>
      <w:r w:rsidRPr="002A3022">
        <w:rPr>
          <w:rFonts w:ascii="Arial" w:hAnsi="Arial" w:cs="Arial"/>
          <w:b/>
          <w:bCs/>
        </w:rPr>
        <w:t>Transformación y Competencia Digital:</w:t>
      </w:r>
      <w:r w:rsidRPr="002A3022">
        <w:rPr>
          <w:rStyle w:val="ng-star-inserted"/>
          <w:rFonts w:ascii="Arial" w:eastAsiaTheme="majorEastAsia" w:hAnsi="Arial" w:cs="Arial"/>
        </w:rPr>
        <w:t xml:space="preserve"> Uso creativo, crítico y seguro de las tecnologías de la información. Abarca desde la alfabetización de datos hasta el uso de la Inteligencia Artificial y la automatización.</w:t>
      </w:r>
    </w:p>
    <w:p w14:paraId="7239AAEF" w14:textId="77777777" w:rsidR="00C27DBE" w:rsidRPr="0034786C" w:rsidRDefault="00C27DBE" w:rsidP="002A3022">
      <w:pPr>
        <w:spacing w:line="360" w:lineRule="auto"/>
        <w:jc w:val="both"/>
        <w:rPr>
          <w:rStyle w:val="ng-star-inserted"/>
          <w:rFonts w:ascii="Arial" w:eastAsiaTheme="majorEastAsia" w:hAnsi="Arial" w:cs="Arial"/>
        </w:rPr>
      </w:pPr>
    </w:p>
    <w:p w14:paraId="3994144C" w14:textId="77777777" w:rsidR="00C27DBE" w:rsidRPr="0034786C" w:rsidRDefault="00C27DBE" w:rsidP="002A3022">
      <w:pPr>
        <w:spacing w:line="360" w:lineRule="auto"/>
        <w:jc w:val="both"/>
        <w:rPr>
          <w:rFonts w:ascii="Arial" w:hAnsi="Arial" w:cs="Arial"/>
        </w:rPr>
      </w:pPr>
    </w:p>
    <w:p w14:paraId="452CAD17" w14:textId="107C0366" w:rsidR="009E1D87" w:rsidRPr="0034786C" w:rsidRDefault="009E1D87" w:rsidP="002A3022">
      <w:pPr>
        <w:spacing w:line="360" w:lineRule="auto"/>
        <w:jc w:val="both"/>
        <w:rPr>
          <w:rFonts w:ascii="Arial" w:hAnsi="Arial" w:cs="Arial"/>
        </w:rPr>
      </w:pPr>
      <w:r w:rsidRPr="0034786C">
        <w:rPr>
          <w:rFonts w:ascii="Arial" w:hAnsi="Arial" w:cs="Arial"/>
          <w:b/>
          <w:bCs/>
        </w:rPr>
        <w:lastRenderedPageBreak/>
        <w:t>2</w:t>
      </w:r>
      <w:r w:rsidRPr="0034786C">
        <w:rPr>
          <w:rFonts w:ascii="Arial" w:hAnsi="Arial" w:cs="Arial"/>
          <w:b/>
          <w:bCs/>
        </w:rPr>
        <w:t>. Ética, Integridad y Orientación a la Ciudadanía:</w:t>
      </w:r>
      <w:r w:rsidRPr="0034786C">
        <w:rPr>
          <w:rStyle w:val="ng-star-inserted"/>
          <w:rFonts w:ascii="Arial" w:eastAsiaTheme="majorEastAsia" w:hAnsi="Arial" w:cs="Arial"/>
        </w:rPr>
        <w:t xml:space="preserve"> El servicio público centrado en la ética y el ciudadano es un pilar transversal:</w:t>
      </w:r>
    </w:p>
    <w:p w14:paraId="5DF9245E"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El </w:t>
      </w:r>
      <w:r w:rsidRPr="0034786C">
        <w:rPr>
          <w:rFonts w:ascii="Arial" w:hAnsi="Arial" w:cs="Arial"/>
          <w:b/>
          <w:bCs/>
        </w:rPr>
        <w:t>INAP</w:t>
      </w:r>
      <w:r w:rsidRPr="0034786C">
        <w:rPr>
          <w:rStyle w:val="ng-star-inserted"/>
          <w:rFonts w:ascii="Arial" w:eastAsiaTheme="majorEastAsia" w:hAnsi="Arial" w:cs="Arial"/>
        </w:rPr>
        <w:t xml:space="preserve"> desarrolla un marco específico de Integridad y ubica la "Orientación al servicio y a la ciudadanía" y la "Ética pública" como competencias transversales.</w:t>
      </w:r>
    </w:p>
    <w:p w14:paraId="39F52242"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Andalucía</w:t>
      </w:r>
      <w:r w:rsidRPr="0034786C">
        <w:rPr>
          <w:rStyle w:val="ng-star-inserted"/>
          <w:rFonts w:ascii="Arial" w:eastAsiaTheme="majorEastAsia" w:hAnsi="Arial" w:cs="Arial"/>
        </w:rPr>
        <w:t xml:space="preserve"> dedica su Clúster V al "Servicio a la ciudadanía" (Gobierno Abierto, experiencia de la ciudadanía) y exige comportamientos basados en la integridad y los valores institucionales.</w:t>
      </w:r>
    </w:p>
    <w:p w14:paraId="0C301E56" w14:textId="77777777" w:rsidR="009E1D87" w:rsidRDefault="009E1D87" w:rsidP="002A3022">
      <w:pPr>
        <w:spacing w:line="360" w:lineRule="auto"/>
        <w:jc w:val="both"/>
        <w:rPr>
          <w:rStyle w:val="ng-star-inserted"/>
          <w:rFonts w:ascii="Arial" w:eastAsiaTheme="majorEastAsia" w:hAnsi="Arial" w:cs="Arial"/>
        </w:rPr>
      </w:pPr>
      <w:r w:rsidRPr="0034786C">
        <w:rPr>
          <w:rStyle w:val="ng-star-inserted"/>
          <w:rFonts w:ascii="Arial" w:eastAsiaTheme="majorEastAsia" w:hAnsi="Arial" w:cs="Arial"/>
        </w:rPr>
        <w:t xml:space="preserve">• </w:t>
      </w:r>
      <w:r w:rsidRPr="0034786C">
        <w:rPr>
          <w:rFonts w:ascii="Arial" w:hAnsi="Arial" w:cs="Arial"/>
          <w:b/>
          <w:bCs/>
        </w:rPr>
        <w:t>Asturias</w:t>
      </w:r>
      <w:r w:rsidRPr="0034786C">
        <w:rPr>
          <w:rStyle w:val="ng-star-inserted"/>
          <w:rFonts w:ascii="Arial" w:eastAsiaTheme="majorEastAsia" w:hAnsi="Arial" w:cs="Arial"/>
        </w:rPr>
        <w:t xml:space="preserve"> integra la competencia de "Integridad, Ética y Transparencia" centrada en la rendición de cuentas y la prevención del fraude.</w:t>
      </w:r>
    </w:p>
    <w:p w14:paraId="6F17421D" w14:textId="77777777" w:rsidR="0034786C" w:rsidRDefault="0034786C" w:rsidP="002A3022">
      <w:pPr>
        <w:spacing w:line="360" w:lineRule="auto"/>
        <w:jc w:val="both"/>
        <w:rPr>
          <w:rStyle w:val="ng-star-inserted"/>
          <w:rFonts w:ascii="Arial" w:eastAsiaTheme="majorEastAsia" w:hAnsi="Arial" w:cs="Arial"/>
        </w:rPr>
      </w:pPr>
    </w:p>
    <w:p w14:paraId="3D0E915C" w14:textId="7C8E22E2" w:rsidR="0034786C" w:rsidRPr="002A3022" w:rsidRDefault="0034786C" w:rsidP="002A3022">
      <w:pPr>
        <w:pStyle w:val="Prrafodelista"/>
        <w:numPr>
          <w:ilvl w:val="0"/>
          <w:numId w:val="1"/>
        </w:numPr>
        <w:spacing w:line="360" w:lineRule="auto"/>
        <w:jc w:val="both"/>
        <w:rPr>
          <w:rFonts w:ascii="Arial" w:hAnsi="Arial" w:cs="Arial"/>
        </w:rPr>
      </w:pPr>
      <w:r w:rsidRPr="002A3022">
        <w:rPr>
          <w:rFonts w:ascii="Arial" w:hAnsi="Arial" w:cs="Arial"/>
          <w:b/>
          <w:bCs/>
        </w:rPr>
        <w:t>Gobierno Abierto y Servicio a la Ciudadanía:</w:t>
      </w:r>
      <w:r w:rsidRPr="002A3022">
        <w:rPr>
          <w:rStyle w:val="ng-star-inserted"/>
          <w:rFonts w:ascii="Arial" w:eastAsiaTheme="majorEastAsia" w:hAnsi="Arial" w:cs="Arial"/>
        </w:rPr>
        <w:t xml:space="preserve"> Concepto que engloba la transparencia, participación, colaboración y la rendición de cuentas, orientando la actuación pública hacia la experiencia y el servicio al ciudadano.</w:t>
      </w:r>
    </w:p>
    <w:p w14:paraId="27352664" w14:textId="09369C7D" w:rsidR="0034786C" w:rsidRPr="002A3022" w:rsidRDefault="0034786C" w:rsidP="002A3022">
      <w:pPr>
        <w:pStyle w:val="Prrafodelista"/>
        <w:numPr>
          <w:ilvl w:val="0"/>
          <w:numId w:val="1"/>
        </w:numPr>
        <w:spacing w:line="360" w:lineRule="auto"/>
        <w:jc w:val="both"/>
        <w:rPr>
          <w:rFonts w:ascii="Arial" w:hAnsi="Arial" w:cs="Arial"/>
        </w:rPr>
      </w:pPr>
      <w:r w:rsidRPr="002A3022">
        <w:rPr>
          <w:rFonts w:ascii="Arial" w:hAnsi="Arial" w:cs="Arial"/>
          <w:b/>
          <w:bCs/>
        </w:rPr>
        <w:t>Ética, Transparencia e Integridad:</w:t>
      </w:r>
      <w:r w:rsidRPr="002A3022">
        <w:rPr>
          <w:rStyle w:val="ng-star-inserted"/>
          <w:rFonts w:ascii="Arial" w:eastAsiaTheme="majorEastAsia" w:hAnsi="Arial" w:cs="Arial"/>
        </w:rPr>
        <w:t xml:space="preserve"> Comportamientos alineados con normas reguladoras de la ética pública, prevención del fraude, rendición de cuentas y priorización de los intereses públicos.</w:t>
      </w:r>
    </w:p>
    <w:p w14:paraId="34C15C25" w14:textId="77777777" w:rsidR="0034786C" w:rsidRDefault="0034786C" w:rsidP="002A3022">
      <w:pPr>
        <w:spacing w:line="360" w:lineRule="auto"/>
        <w:jc w:val="both"/>
        <w:rPr>
          <w:rFonts w:ascii="Arial" w:hAnsi="Arial" w:cs="Arial"/>
          <w:b/>
          <w:bCs/>
        </w:rPr>
      </w:pPr>
    </w:p>
    <w:p w14:paraId="2D089359" w14:textId="26EEDDD8" w:rsidR="009E1D87" w:rsidRPr="0034786C" w:rsidRDefault="009E1D87" w:rsidP="002A3022">
      <w:pPr>
        <w:spacing w:line="360" w:lineRule="auto"/>
        <w:jc w:val="both"/>
        <w:rPr>
          <w:rFonts w:ascii="Arial" w:hAnsi="Arial" w:cs="Arial"/>
        </w:rPr>
      </w:pPr>
      <w:r w:rsidRPr="0034786C">
        <w:rPr>
          <w:rFonts w:ascii="Arial" w:hAnsi="Arial" w:cs="Arial"/>
          <w:b/>
          <w:bCs/>
        </w:rPr>
        <w:t>3</w:t>
      </w:r>
      <w:r w:rsidRPr="0034786C">
        <w:rPr>
          <w:rFonts w:ascii="Arial" w:hAnsi="Arial" w:cs="Arial"/>
          <w:b/>
          <w:bCs/>
        </w:rPr>
        <w:t>. Importancia de las "</w:t>
      </w:r>
      <w:proofErr w:type="spellStart"/>
      <w:r w:rsidRPr="0034786C">
        <w:rPr>
          <w:rFonts w:ascii="Arial" w:hAnsi="Arial" w:cs="Arial"/>
          <w:b/>
          <w:bCs/>
        </w:rPr>
        <w:t>Soft</w:t>
      </w:r>
      <w:proofErr w:type="spellEnd"/>
      <w:r w:rsidRPr="0034786C">
        <w:rPr>
          <w:rFonts w:ascii="Arial" w:hAnsi="Arial" w:cs="Arial"/>
          <w:b/>
          <w:bCs/>
        </w:rPr>
        <w:t xml:space="preserve"> </w:t>
      </w:r>
      <w:proofErr w:type="spellStart"/>
      <w:r w:rsidRPr="0034786C">
        <w:rPr>
          <w:rFonts w:ascii="Arial" w:hAnsi="Arial" w:cs="Arial"/>
          <w:b/>
          <w:bCs/>
        </w:rPr>
        <w:t>Skills</w:t>
      </w:r>
      <w:proofErr w:type="spellEnd"/>
      <w:r w:rsidRPr="0034786C">
        <w:rPr>
          <w:rFonts w:ascii="Arial" w:hAnsi="Arial" w:cs="Arial"/>
          <w:b/>
          <w:bCs/>
        </w:rPr>
        <w:t>" (Habilidades Blandas):</w:t>
      </w:r>
      <w:r w:rsidRPr="0034786C">
        <w:rPr>
          <w:rStyle w:val="ng-star-inserted"/>
          <w:rFonts w:ascii="Arial" w:eastAsiaTheme="majorEastAsia" w:hAnsi="Arial" w:cs="Arial"/>
        </w:rPr>
        <w:t xml:space="preserve"> Se produce una transición del mero conocimiento jurídico-técnico hacia el desarrollo personal e interpersonal. Los modelos exigen capacidades de comunicación, trabajo en equipo, resolución de problemas, y aprendizaje continuo.</w:t>
      </w:r>
    </w:p>
    <w:p w14:paraId="0DF901D9" w14:textId="77777777" w:rsidR="009E1D87" w:rsidRPr="0034786C" w:rsidRDefault="009E1D87" w:rsidP="002A3022">
      <w:pPr>
        <w:spacing w:line="360" w:lineRule="auto"/>
        <w:jc w:val="both"/>
        <w:rPr>
          <w:rStyle w:val="ng-star-inserted"/>
          <w:rFonts w:ascii="Arial" w:eastAsiaTheme="majorEastAsia" w:hAnsi="Arial" w:cs="Arial"/>
        </w:rPr>
      </w:pPr>
    </w:p>
    <w:p w14:paraId="5409D291" w14:textId="77777777" w:rsidR="00C27DBE" w:rsidRDefault="00C27DBE" w:rsidP="002A3022">
      <w:pPr>
        <w:spacing w:line="360" w:lineRule="auto"/>
        <w:jc w:val="both"/>
        <w:rPr>
          <w:rStyle w:val="ng-star-inserted"/>
          <w:rFonts w:ascii="Arial" w:eastAsiaTheme="majorEastAsia" w:hAnsi="Arial" w:cs="Arial"/>
        </w:rPr>
      </w:pPr>
    </w:p>
    <w:p w14:paraId="0FF793C7" w14:textId="77777777" w:rsidR="002A3022" w:rsidRDefault="002A3022" w:rsidP="002A3022">
      <w:pPr>
        <w:spacing w:line="360" w:lineRule="auto"/>
        <w:jc w:val="both"/>
        <w:rPr>
          <w:rStyle w:val="ng-star-inserted"/>
          <w:rFonts w:ascii="Arial" w:eastAsiaTheme="majorEastAsia" w:hAnsi="Arial" w:cs="Arial"/>
        </w:rPr>
      </w:pPr>
    </w:p>
    <w:p w14:paraId="4B09E7C9" w14:textId="77777777" w:rsidR="002A3022" w:rsidRDefault="002A3022" w:rsidP="002A3022">
      <w:pPr>
        <w:spacing w:line="360" w:lineRule="auto"/>
        <w:jc w:val="both"/>
        <w:rPr>
          <w:rStyle w:val="ng-star-inserted"/>
          <w:rFonts w:ascii="Arial" w:eastAsiaTheme="majorEastAsia" w:hAnsi="Arial" w:cs="Arial"/>
        </w:rPr>
      </w:pPr>
    </w:p>
    <w:p w14:paraId="6D500793" w14:textId="77777777" w:rsidR="002A3022" w:rsidRDefault="002A3022" w:rsidP="002A3022">
      <w:pPr>
        <w:spacing w:line="360" w:lineRule="auto"/>
        <w:jc w:val="both"/>
        <w:rPr>
          <w:rStyle w:val="ng-star-inserted"/>
          <w:rFonts w:ascii="Arial" w:eastAsiaTheme="majorEastAsia" w:hAnsi="Arial" w:cs="Arial"/>
        </w:rPr>
      </w:pPr>
    </w:p>
    <w:p w14:paraId="4AB1A406" w14:textId="77777777" w:rsidR="002A3022" w:rsidRDefault="002A3022" w:rsidP="002A3022">
      <w:pPr>
        <w:spacing w:line="360" w:lineRule="auto"/>
        <w:jc w:val="both"/>
        <w:rPr>
          <w:rStyle w:val="ng-star-inserted"/>
          <w:rFonts w:ascii="Arial" w:eastAsiaTheme="majorEastAsia" w:hAnsi="Arial" w:cs="Arial"/>
        </w:rPr>
      </w:pPr>
    </w:p>
    <w:p w14:paraId="1FC9C49F" w14:textId="77777777" w:rsidR="002A3022" w:rsidRDefault="002A3022" w:rsidP="002A3022">
      <w:pPr>
        <w:spacing w:line="360" w:lineRule="auto"/>
        <w:jc w:val="both"/>
        <w:rPr>
          <w:rStyle w:val="ng-star-inserted"/>
          <w:rFonts w:ascii="Arial" w:eastAsiaTheme="majorEastAsia" w:hAnsi="Arial" w:cs="Arial"/>
        </w:rPr>
      </w:pPr>
    </w:p>
    <w:p w14:paraId="0DB71FFA" w14:textId="77777777" w:rsidR="002A3022" w:rsidRDefault="002A3022" w:rsidP="002A3022">
      <w:pPr>
        <w:spacing w:line="360" w:lineRule="auto"/>
        <w:jc w:val="both"/>
        <w:rPr>
          <w:rStyle w:val="ng-star-inserted"/>
          <w:rFonts w:ascii="Arial" w:eastAsiaTheme="majorEastAsia" w:hAnsi="Arial" w:cs="Arial"/>
        </w:rPr>
      </w:pPr>
    </w:p>
    <w:p w14:paraId="085CD595" w14:textId="77777777" w:rsidR="002A3022" w:rsidRDefault="002A3022" w:rsidP="002A3022">
      <w:pPr>
        <w:spacing w:line="360" w:lineRule="auto"/>
        <w:jc w:val="both"/>
        <w:rPr>
          <w:rStyle w:val="ng-star-inserted"/>
          <w:rFonts w:ascii="Arial" w:eastAsiaTheme="majorEastAsia" w:hAnsi="Arial" w:cs="Arial"/>
        </w:rPr>
      </w:pPr>
    </w:p>
    <w:p w14:paraId="31C094D0" w14:textId="77777777" w:rsidR="002A3022" w:rsidRDefault="002A3022" w:rsidP="002A3022">
      <w:pPr>
        <w:spacing w:line="360" w:lineRule="auto"/>
        <w:jc w:val="both"/>
        <w:rPr>
          <w:rStyle w:val="ng-star-inserted"/>
          <w:rFonts w:ascii="Arial" w:eastAsiaTheme="majorEastAsia" w:hAnsi="Arial" w:cs="Arial"/>
        </w:rPr>
      </w:pPr>
    </w:p>
    <w:p w14:paraId="2CE5BF5E" w14:textId="77777777" w:rsidR="002A3022" w:rsidRPr="0034786C" w:rsidRDefault="002A3022" w:rsidP="002A3022">
      <w:pPr>
        <w:spacing w:line="360" w:lineRule="auto"/>
        <w:jc w:val="both"/>
        <w:rPr>
          <w:rStyle w:val="ng-star-inserted"/>
          <w:rFonts w:ascii="Arial" w:eastAsiaTheme="majorEastAsia" w:hAnsi="Arial" w:cs="Arial"/>
        </w:rPr>
      </w:pPr>
    </w:p>
    <w:p w14:paraId="31EB3C53" w14:textId="69DAE7BC" w:rsidR="009E1D87" w:rsidRPr="0034786C" w:rsidRDefault="009E1D87" w:rsidP="002A3022">
      <w:pPr>
        <w:spacing w:line="360" w:lineRule="auto"/>
        <w:jc w:val="both"/>
        <w:rPr>
          <w:rFonts w:ascii="Arial" w:hAnsi="Arial" w:cs="Arial"/>
          <w:b/>
          <w:bCs/>
          <w:i/>
          <w:iCs/>
          <w:u w:val="single"/>
        </w:rPr>
      </w:pPr>
      <w:r w:rsidRPr="0034786C">
        <w:rPr>
          <w:rStyle w:val="ng-star-inserted"/>
          <w:rFonts w:ascii="Arial" w:eastAsiaTheme="majorEastAsia" w:hAnsi="Arial" w:cs="Arial"/>
          <w:b/>
          <w:bCs/>
          <w:i/>
          <w:iCs/>
          <w:u w:val="single"/>
        </w:rPr>
        <w:lastRenderedPageBreak/>
        <w:t>Divergencias (Diferencias y Enfoques Específicos)</w:t>
      </w:r>
    </w:p>
    <w:p w14:paraId="2876086E"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A pesar de la convergencia general, cada administración estructura su modelo con énfasis particulares:</w:t>
      </w:r>
    </w:p>
    <w:p w14:paraId="0F56658D" w14:textId="77777777" w:rsidR="0034786C" w:rsidRDefault="0034786C" w:rsidP="002A3022">
      <w:pPr>
        <w:spacing w:line="360" w:lineRule="auto"/>
        <w:jc w:val="both"/>
        <w:rPr>
          <w:rFonts w:ascii="Arial" w:hAnsi="Arial" w:cs="Arial"/>
          <w:b/>
          <w:bCs/>
          <w:u w:val="single"/>
        </w:rPr>
      </w:pPr>
    </w:p>
    <w:p w14:paraId="532E3A5A" w14:textId="49925F14" w:rsidR="009E1D87" w:rsidRPr="0034786C" w:rsidRDefault="009E1D87" w:rsidP="002A3022">
      <w:pPr>
        <w:spacing w:line="360" w:lineRule="auto"/>
        <w:jc w:val="both"/>
        <w:rPr>
          <w:rFonts w:ascii="Arial" w:hAnsi="Arial" w:cs="Arial"/>
          <w:u w:val="single"/>
        </w:rPr>
      </w:pPr>
      <w:r w:rsidRPr="0034786C">
        <w:rPr>
          <w:rFonts w:ascii="Arial" w:hAnsi="Arial" w:cs="Arial"/>
          <w:b/>
          <w:bCs/>
          <w:u w:val="single"/>
        </w:rPr>
        <w:t>El Modelo del INAP (Administración General del Estado):</w:t>
      </w:r>
    </w:p>
    <w:p w14:paraId="2F817918"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Estructura de Ecosistema (3 niveles):</w:t>
      </w:r>
      <w:r w:rsidRPr="0034786C">
        <w:rPr>
          <w:rStyle w:val="ng-star-inserted"/>
          <w:rFonts w:ascii="Arial" w:eastAsiaTheme="majorEastAsia" w:hAnsi="Arial" w:cs="Arial"/>
        </w:rPr>
        <w:t xml:space="preserve"> El INAP concibe sus competencias como un ecosistema altamente estructurado en tres niveles: 1) Nivel estratégico (competencias que todo empleado debe tener, como ética), 2) Competencias comunes (digitales, teletrabajo, directivas), y 3) Competencias específicas por área funcional.</w:t>
      </w:r>
    </w:p>
    <w:p w14:paraId="150F64DD"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Marcos hiper-especializados:</w:t>
      </w:r>
      <w:r w:rsidRPr="0034786C">
        <w:rPr>
          <w:rStyle w:val="ng-star-inserted"/>
          <w:rFonts w:ascii="Arial" w:eastAsiaTheme="majorEastAsia" w:hAnsi="Arial" w:cs="Arial"/>
        </w:rPr>
        <w:t xml:space="preserve"> A diferencia de las CCAA, el INAP ha desarrollado marcos competenciales muy exhaustivos para nichos concretos, como el </w:t>
      </w:r>
      <w:r w:rsidRPr="0034786C">
        <w:rPr>
          <w:rFonts w:ascii="Arial" w:hAnsi="Arial" w:cs="Arial"/>
          <w:i/>
          <w:iCs/>
        </w:rPr>
        <w:t>Marco de Evaluación de Políticas Públicas</w:t>
      </w:r>
      <w:r w:rsidRPr="0034786C">
        <w:rPr>
          <w:rStyle w:val="ng-star-inserted"/>
          <w:rFonts w:ascii="Arial" w:eastAsiaTheme="majorEastAsia" w:hAnsi="Arial" w:cs="Arial"/>
        </w:rPr>
        <w:t xml:space="preserve"> o el </w:t>
      </w:r>
      <w:r w:rsidRPr="0034786C">
        <w:rPr>
          <w:rFonts w:ascii="Arial" w:hAnsi="Arial" w:cs="Arial"/>
          <w:i/>
          <w:iCs/>
        </w:rPr>
        <w:t>Marco de Contratación del Sector Público</w:t>
      </w:r>
      <w:r w:rsidRPr="0034786C">
        <w:rPr>
          <w:rStyle w:val="ng-star-inserted"/>
          <w:rFonts w:ascii="Arial" w:eastAsiaTheme="majorEastAsia" w:hAnsi="Arial" w:cs="Arial"/>
        </w:rPr>
        <w:t xml:space="preserve"> (basado en el modelo europeo </w:t>
      </w:r>
      <w:proofErr w:type="spellStart"/>
      <w:r w:rsidRPr="0034786C">
        <w:rPr>
          <w:rStyle w:val="ng-star-inserted"/>
          <w:rFonts w:ascii="Arial" w:eastAsiaTheme="majorEastAsia" w:hAnsi="Arial" w:cs="Arial"/>
        </w:rPr>
        <w:t>ProcurCompEU</w:t>
      </w:r>
      <w:proofErr w:type="spellEnd"/>
      <w:r w:rsidRPr="0034786C">
        <w:rPr>
          <w:rStyle w:val="ng-star-inserted"/>
          <w:rFonts w:ascii="Arial" w:eastAsiaTheme="majorEastAsia" w:hAnsi="Arial" w:cs="Arial"/>
        </w:rPr>
        <w:t>).</w:t>
      </w:r>
    </w:p>
    <w:p w14:paraId="678F787E" w14:textId="77777777" w:rsidR="0034786C" w:rsidRDefault="0034786C" w:rsidP="002A3022">
      <w:pPr>
        <w:spacing w:line="360" w:lineRule="auto"/>
        <w:jc w:val="both"/>
        <w:rPr>
          <w:rFonts w:ascii="Arial" w:hAnsi="Arial" w:cs="Arial"/>
          <w:b/>
          <w:bCs/>
          <w:u w:val="single"/>
        </w:rPr>
      </w:pPr>
    </w:p>
    <w:p w14:paraId="0A9D2F48" w14:textId="155B3867" w:rsidR="009E1D87" w:rsidRPr="0034786C" w:rsidRDefault="009E1D87" w:rsidP="002A3022">
      <w:pPr>
        <w:spacing w:line="360" w:lineRule="auto"/>
        <w:jc w:val="both"/>
        <w:rPr>
          <w:rFonts w:ascii="Arial" w:hAnsi="Arial" w:cs="Arial"/>
          <w:u w:val="single"/>
        </w:rPr>
      </w:pPr>
      <w:r w:rsidRPr="0034786C">
        <w:rPr>
          <w:rFonts w:ascii="Arial" w:hAnsi="Arial" w:cs="Arial"/>
          <w:b/>
          <w:bCs/>
          <w:u w:val="single"/>
        </w:rPr>
        <w:t>El Modelo de Andalucía (IAAP):</w:t>
      </w:r>
    </w:p>
    <w:p w14:paraId="4B2B8B16"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Liderazgo Transformador y Dimensión Emocional:</w:t>
      </w:r>
      <w:r w:rsidRPr="0034786C">
        <w:rPr>
          <w:rStyle w:val="ng-star-inserted"/>
          <w:rFonts w:ascii="Arial" w:eastAsiaTheme="majorEastAsia" w:hAnsi="Arial" w:cs="Arial"/>
        </w:rPr>
        <w:t xml:space="preserve"> El modelo andaluz, dirigido especialmente al personal directivo, se denomina explícitamente "Modelo de Liderazgo Transformador". Se divide en 5 clústeres y destaca notablemente por su fuerte enfoque en la inteligencia emocional. Incluye competencias únicas como la "Autogestión emocional", la "Capacidad de inspirar", el "Liderazgo de servicio" y la "Empatía organizacional".</w:t>
      </w:r>
    </w:p>
    <w:p w14:paraId="7444DF2C" w14:textId="77777777" w:rsidR="0034786C" w:rsidRDefault="0034786C" w:rsidP="002A3022">
      <w:pPr>
        <w:spacing w:line="360" w:lineRule="auto"/>
        <w:jc w:val="both"/>
        <w:rPr>
          <w:rFonts w:ascii="Arial" w:hAnsi="Arial" w:cs="Arial"/>
          <w:b/>
          <w:bCs/>
          <w:i/>
          <w:iCs/>
        </w:rPr>
      </w:pPr>
    </w:p>
    <w:p w14:paraId="6083B218" w14:textId="060E7901" w:rsidR="009E1D87" w:rsidRPr="002A3022" w:rsidRDefault="009E1D87" w:rsidP="002A3022">
      <w:pPr>
        <w:spacing w:line="360" w:lineRule="auto"/>
        <w:jc w:val="both"/>
        <w:rPr>
          <w:rFonts w:ascii="Arial" w:hAnsi="Arial" w:cs="Arial"/>
          <w:i/>
          <w:iCs/>
          <w:u w:val="single"/>
        </w:rPr>
      </w:pPr>
      <w:r w:rsidRPr="002A3022">
        <w:rPr>
          <w:rFonts w:ascii="Arial" w:hAnsi="Arial" w:cs="Arial"/>
          <w:b/>
          <w:bCs/>
          <w:i/>
          <w:iCs/>
          <w:u w:val="single"/>
        </w:rPr>
        <w:t>El Modelo de Asturias (IAAP Adolfo Posada):</w:t>
      </w:r>
    </w:p>
    <w:p w14:paraId="37541A29"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Sostenibilidad y Agenda 2030:</w:t>
      </w:r>
      <w:r w:rsidRPr="0034786C">
        <w:rPr>
          <w:rStyle w:val="ng-star-inserted"/>
          <w:rFonts w:ascii="Arial" w:eastAsiaTheme="majorEastAsia" w:hAnsi="Arial" w:cs="Arial"/>
        </w:rPr>
        <w:t xml:space="preserve"> El nuevo mapa competencial asturiano es el único que destaca de forma explícita y como competencia nuclear la "Sostenibilidad y Compromiso con la Agenda 2030" (integrando eficiencia energética y economía circular en el diseño de políticas).</w:t>
      </w:r>
    </w:p>
    <w:p w14:paraId="307C6FC3" w14:textId="77777777" w:rsidR="009E1D87" w:rsidRPr="0034786C" w:rsidRDefault="009E1D87"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Igualdad y Diversidad como eje central:</w:t>
      </w:r>
      <w:r w:rsidRPr="0034786C">
        <w:rPr>
          <w:rStyle w:val="ng-star-inserted"/>
          <w:rFonts w:ascii="Arial" w:eastAsiaTheme="majorEastAsia" w:hAnsi="Arial" w:cs="Arial"/>
        </w:rPr>
        <w:t xml:space="preserve"> Eleva la "Igualdad, Diversidad e Inclusión" a la categoría de competencia nuclear para el diseño de políticas libres de sesgos, dejando de ser un mero subapartado normativo.</w:t>
      </w:r>
    </w:p>
    <w:p w14:paraId="59EEDAD9" w14:textId="77777777" w:rsidR="0034786C" w:rsidRDefault="0034786C" w:rsidP="002A3022">
      <w:pPr>
        <w:spacing w:line="360" w:lineRule="auto"/>
        <w:jc w:val="both"/>
        <w:rPr>
          <w:rFonts w:ascii="Arial" w:hAnsi="Arial" w:cs="Arial"/>
          <w:b/>
          <w:bCs/>
          <w:u w:val="single"/>
        </w:rPr>
      </w:pPr>
    </w:p>
    <w:p w14:paraId="2A9D5CB1" w14:textId="77777777" w:rsidR="002A3022" w:rsidRDefault="002A3022" w:rsidP="002A3022">
      <w:pPr>
        <w:spacing w:line="360" w:lineRule="auto"/>
        <w:jc w:val="both"/>
        <w:rPr>
          <w:rFonts w:ascii="Arial" w:hAnsi="Arial" w:cs="Arial"/>
          <w:b/>
          <w:bCs/>
          <w:u w:val="single"/>
        </w:rPr>
      </w:pPr>
    </w:p>
    <w:p w14:paraId="1530A8BD" w14:textId="77777777" w:rsidR="002A3022" w:rsidRDefault="002A3022" w:rsidP="002A3022">
      <w:pPr>
        <w:spacing w:line="360" w:lineRule="auto"/>
        <w:jc w:val="both"/>
        <w:rPr>
          <w:rFonts w:ascii="Arial" w:hAnsi="Arial" w:cs="Arial"/>
          <w:b/>
          <w:bCs/>
          <w:u w:val="single"/>
        </w:rPr>
      </w:pPr>
    </w:p>
    <w:p w14:paraId="788915D4" w14:textId="77777777" w:rsidR="002A3022" w:rsidRDefault="002A3022" w:rsidP="002A3022">
      <w:pPr>
        <w:spacing w:line="360" w:lineRule="auto"/>
        <w:jc w:val="both"/>
        <w:rPr>
          <w:rFonts w:ascii="Arial" w:hAnsi="Arial" w:cs="Arial"/>
          <w:b/>
          <w:bCs/>
          <w:u w:val="single"/>
        </w:rPr>
      </w:pPr>
    </w:p>
    <w:p w14:paraId="30D84FA7" w14:textId="06C617BB" w:rsidR="009E1D87" w:rsidRPr="0034786C" w:rsidRDefault="009E1D87" w:rsidP="002A3022">
      <w:pPr>
        <w:spacing w:line="360" w:lineRule="auto"/>
        <w:jc w:val="both"/>
        <w:rPr>
          <w:rFonts w:ascii="Arial" w:hAnsi="Arial" w:cs="Arial"/>
          <w:u w:val="single"/>
        </w:rPr>
      </w:pPr>
      <w:r w:rsidRPr="0034786C">
        <w:rPr>
          <w:rFonts w:ascii="Arial" w:hAnsi="Arial" w:cs="Arial"/>
          <w:b/>
          <w:bCs/>
          <w:u w:val="single"/>
        </w:rPr>
        <w:t>El Modelo de Extremadura (EAP):</w:t>
      </w:r>
    </w:p>
    <w:p w14:paraId="062E964E" w14:textId="7D58B3C3" w:rsidR="009E1D87" w:rsidRPr="0034786C" w:rsidRDefault="009E1D87" w:rsidP="002A3022">
      <w:pPr>
        <w:spacing w:line="360" w:lineRule="auto"/>
        <w:jc w:val="both"/>
        <w:rPr>
          <w:rStyle w:val="ng-star-inserted"/>
          <w:rFonts w:ascii="Arial" w:eastAsiaTheme="majorEastAsia" w:hAnsi="Arial" w:cs="Arial"/>
        </w:rPr>
      </w:pPr>
      <w:r w:rsidRPr="0034786C">
        <w:rPr>
          <w:rStyle w:val="ng-star-inserted"/>
          <w:rFonts w:ascii="Arial" w:eastAsiaTheme="majorEastAsia" w:hAnsi="Arial" w:cs="Arial"/>
        </w:rPr>
        <w:t xml:space="preserve">• </w:t>
      </w:r>
      <w:r w:rsidRPr="0034786C">
        <w:rPr>
          <w:rFonts w:ascii="Arial" w:hAnsi="Arial" w:cs="Arial"/>
          <w:i/>
          <w:iCs/>
        </w:rPr>
        <w:t>Nota sobre las fuentes:</w:t>
      </w:r>
      <w:r w:rsidRPr="0034786C">
        <w:rPr>
          <w:rStyle w:val="ng-star-inserted"/>
          <w:rFonts w:ascii="Arial" w:eastAsiaTheme="majorEastAsia" w:hAnsi="Arial" w:cs="Arial"/>
        </w:rPr>
        <w:t xml:space="preserve"> Las fuentes proporcionadas no detallan un modelo global de competencias genéricas o directivas propio de Extremadura (como sí ocurre con INAP, Andalucía y Asturias). La información sobre Extremadura se centra en la impartición de formación técnica altamente especializada, como el curso básico sobre la Ley de Contratos del Sector Público. </w:t>
      </w:r>
    </w:p>
    <w:p w14:paraId="08BD33AA" w14:textId="77777777" w:rsidR="00C27DBE" w:rsidRPr="0034786C" w:rsidRDefault="00C27DBE" w:rsidP="002A3022">
      <w:pPr>
        <w:spacing w:line="360" w:lineRule="auto"/>
        <w:jc w:val="both"/>
        <w:rPr>
          <w:rStyle w:val="ng-star-inserted"/>
          <w:rFonts w:ascii="Arial" w:eastAsiaTheme="majorEastAsia" w:hAnsi="Arial" w:cs="Arial"/>
        </w:rPr>
      </w:pPr>
    </w:p>
    <w:p w14:paraId="59CB0D41" w14:textId="77777777" w:rsidR="00C27DBE" w:rsidRPr="0034786C" w:rsidRDefault="00C27DBE" w:rsidP="002A3022">
      <w:pPr>
        <w:spacing w:line="360" w:lineRule="auto"/>
        <w:jc w:val="both"/>
        <w:rPr>
          <w:rFonts w:ascii="Arial" w:hAnsi="Arial" w:cs="Arial"/>
          <w:color w:val="212121"/>
        </w:rPr>
        <w:sectPr w:rsidR="00C27DBE" w:rsidRPr="0034786C">
          <w:pgSz w:w="11906" w:h="16838"/>
          <w:pgMar w:top="1417" w:right="1701" w:bottom="1417" w:left="1701" w:header="708" w:footer="708" w:gutter="0"/>
          <w:cols w:space="708"/>
          <w:docGrid w:linePitch="360"/>
        </w:sectPr>
      </w:pPr>
    </w:p>
    <w:p w14:paraId="0EF3F31F" w14:textId="43301F2A" w:rsidR="00C27DBE" w:rsidRPr="0034786C" w:rsidRDefault="00C27DBE" w:rsidP="002A3022">
      <w:pPr>
        <w:spacing w:line="360" w:lineRule="auto"/>
        <w:jc w:val="both"/>
        <w:rPr>
          <w:rStyle w:val="ng-star-inserted"/>
          <w:rFonts w:ascii="Arial" w:eastAsiaTheme="majorEastAsia" w:hAnsi="Arial" w:cs="Arial"/>
          <w:b/>
          <w:bCs/>
        </w:rPr>
      </w:pPr>
      <w:r w:rsidRPr="0034786C">
        <w:rPr>
          <w:rStyle w:val="ng-star-inserted"/>
          <w:rFonts w:ascii="Arial" w:eastAsiaTheme="majorEastAsia" w:hAnsi="Arial" w:cs="Arial"/>
          <w:b/>
          <w:bCs/>
        </w:rPr>
        <w:lastRenderedPageBreak/>
        <w:t>I</w:t>
      </w:r>
      <w:r w:rsidRPr="0034786C">
        <w:rPr>
          <w:rStyle w:val="ng-star-inserted"/>
          <w:rFonts w:ascii="Arial" w:eastAsiaTheme="majorEastAsia" w:hAnsi="Arial" w:cs="Arial"/>
          <w:b/>
          <w:bCs/>
        </w:rPr>
        <w:t>I</w:t>
      </w:r>
      <w:r w:rsidRPr="0034786C">
        <w:rPr>
          <w:rStyle w:val="ng-star-inserted"/>
          <w:rFonts w:ascii="Arial" w:eastAsiaTheme="majorEastAsia" w:hAnsi="Arial" w:cs="Arial"/>
          <w:b/>
          <w:bCs/>
        </w:rPr>
        <w:t xml:space="preserve">.- </w:t>
      </w:r>
      <w:r w:rsidRPr="0034786C">
        <w:rPr>
          <w:rStyle w:val="ng-star-inserted"/>
          <w:rFonts w:ascii="Arial" w:eastAsiaTheme="majorEastAsia" w:hAnsi="Arial" w:cs="Arial"/>
          <w:b/>
          <w:bCs/>
        </w:rPr>
        <w:t>EL MARCO COMPETENCIAL COMÚN</w:t>
      </w:r>
      <w:r w:rsidR="002B48E4" w:rsidRPr="0034786C">
        <w:rPr>
          <w:rStyle w:val="ng-star-inserted"/>
          <w:rFonts w:ascii="Arial" w:eastAsiaTheme="majorEastAsia" w:hAnsi="Arial" w:cs="Arial"/>
          <w:b/>
          <w:bCs/>
        </w:rPr>
        <w:t>: PERSPECTIVAS</w:t>
      </w:r>
    </w:p>
    <w:p w14:paraId="6D5A50ED" w14:textId="77777777" w:rsidR="00C27DBE" w:rsidRPr="0034786C" w:rsidRDefault="00C27DBE" w:rsidP="002A3022">
      <w:pPr>
        <w:spacing w:line="360" w:lineRule="auto"/>
        <w:jc w:val="both"/>
        <w:rPr>
          <w:rStyle w:val="ng-star-inserted"/>
          <w:rFonts w:ascii="Arial" w:eastAsiaTheme="majorEastAsia" w:hAnsi="Arial" w:cs="Arial"/>
        </w:rPr>
      </w:pPr>
    </w:p>
    <w:p w14:paraId="38AAE3DA" w14:textId="77777777" w:rsidR="00C27DBE" w:rsidRPr="0034786C" w:rsidRDefault="00C27DBE" w:rsidP="002A3022">
      <w:pPr>
        <w:spacing w:line="360" w:lineRule="auto"/>
        <w:jc w:val="both"/>
        <w:rPr>
          <w:rStyle w:val="ng-star-inserted"/>
          <w:rFonts w:ascii="Arial" w:eastAsiaTheme="majorEastAsia" w:hAnsi="Arial" w:cs="Arial"/>
        </w:rPr>
      </w:pPr>
    </w:p>
    <w:p w14:paraId="477199D5" w14:textId="2CE3C28A"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El marco conceptual común de referencia hacia el que confluyen las distintas entidades es el modelo de </w:t>
      </w:r>
      <w:r w:rsidRPr="0034786C">
        <w:rPr>
          <w:rFonts w:ascii="Arial" w:hAnsi="Arial" w:cs="Arial"/>
          <w:b/>
          <w:bCs/>
        </w:rPr>
        <w:t>Gestión por Competencias</w:t>
      </w:r>
      <w:r w:rsidRPr="0034786C">
        <w:rPr>
          <w:rStyle w:val="ng-star-inserted"/>
          <w:rFonts w:ascii="Arial" w:eastAsiaTheme="majorEastAsia" w:hAnsi="Arial" w:cs="Arial"/>
        </w:rPr>
        <w:t xml:space="preserve"> y el desarrollo de un </w:t>
      </w:r>
      <w:r w:rsidRPr="0034786C">
        <w:rPr>
          <w:rFonts w:ascii="Arial" w:hAnsi="Arial" w:cs="Arial"/>
          <w:b/>
          <w:bCs/>
        </w:rPr>
        <w:t>Ecosistema Competencial</w:t>
      </w:r>
      <w:r w:rsidRPr="0034786C">
        <w:rPr>
          <w:rStyle w:val="ng-star-inserted"/>
          <w:rFonts w:ascii="Arial" w:eastAsiaTheme="majorEastAsia" w:hAnsi="Arial" w:cs="Arial"/>
        </w:rPr>
        <w:t>. Este modelo abandona el enfoque tradicional centrado exclusivamente en el conocimiento teórico para enfocarse en los comportamientos, habilidades y actitudes necesarias para el desempeño óptimo en la Administración Pública.</w:t>
      </w:r>
    </w:p>
    <w:p w14:paraId="6C274BE7"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Además, el marco de referencia práctico e interadministrativo que se está construyendo es el del </w:t>
      </w:r>
      <w:r w:rsidRPr="0034786C">
        <w:rPr>
          <w:rFonts w:ascii="Arial" w:hAnsi="Arial" w:cs="Arial"/>
          <w:b/>
          <w:bCs/>
        </w:rPr>
        <w:t>Reconocimiento recíproco de certificaciones y homologación de competencias</w:t>
      </w:r>
      <w:r w:rsidRPr="0034786C">
        <w:rPr>
          <w:rStyle w:val="ng-star-inserted"/>
          <w:rFonts w:ascii="Arial" w:eastAsiaTheme="majorEastAsia" w:hAnsi="Arial" w:cs="Arial"/>
        </w:rPr>
        <w:t xml:space="preserve"> a través de la Red de Escuelas e Institutos de Administración Pública (REI).</w:t>
      </w:r>
    </w:p>
    <w:p w14:paraId="4F1113AA" w14:textId="77777777" w:rsidR="0034786C" w:rsidRDefault="0034786C" w:rsidP="002A3022">
      <w:pPr>
        <w:spacing w:line="360" w:lineRule="auto"/>
        <w:jc w:val="both"/>
        <w:rPr>
          <w:rStyle w:val="ng-star-inserted"/>
          <w:rFonts w:ascii="Arial" w:eastAsiaTheme="majorEastAsia" w:hAnsi="Arial" w:cs="Arial"/>
          <w:b/>
          <w:bCs/>
          <w:i/>
          <w:iCs/>
        </w:rPr>
      </w:pPr>
    </w:p>
    <w:p w14:paraId="3A97E0B8" w14:textId="3B4E8A01" w:rsidR="00C27DBE" w:rsidRPr="0034786C" w:rsidRDefault="00C27DBE" w:rsidP="002A3022">
      <w:pPr>
        <w:spacing w:line="360" w:lineRule="auto"/>
        <w:jc w:val="both"/>
        <w:rPr>
          <w:rFonts w:ascii="Arial" w:hAnsi="Arial" w:cs="Arial"/>
          <w:b/>
          <w:bCs/>
          <w:i/>
          <w:iCs/>
        </w:rPr>
      </w:pPr>
      <w:r w:rsidRPr="0034786C">
        <w:rPr>
          <w:rStyle w:val="ng-star-inserted"/>
          <w:rFonts w:ascii="Arial" w:eastAsiaTheme="majorEastAsia" w:hAnsi="Arial" w:cs="Arial"/>
          <w:b/>
          <w:bCs/>
          <w:i/>
          <w:iCs/>
        </w:rPr>
        <w:t>Conceptos comunes y sus significados</w:t>
      </w:r>
    </w:p>
    <w:p w14:paraId="07F88CEB" w14:textId="77777777" w:rsidR="0034786C" w:rsidRDefault="0034786C" w:rsidP="002A3022">
      <w:pPr>
        <w:spacing w:line="360" w:lineRule="auto"/>
        <w:jc w:val="both"/>
        <w:rPr>
          <w:rStyle w:val="ng-star-inserted"/>
          <w:rFonts w:ascii="Arial" w:eastAsiaTheme="majorEastAsia" w:hAnsi="Arial" w:cs="Arial"/>
        </w:rPr>
      </w:pPr>
    </w:p>
    <w:p w14:paraId="6F94B9CC" w14:textId="5D2C4FA6"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A través de los documentos del INAP, Andalucía, Asturias y Extremadura, se repiten de forma constante una serie de conceptos vertebradores:</w:t>
      </w:r>
    </w:p>
    <w:p w14:paraId="37A8C7D6"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Competencia profesional:</w:t>
      </w:r>
      <w:r w:rsidRPr="0034786C">
        <w:rPr>
          <w:rStyle w:val="ng-star-inserted"/>
          <w:rFonts w:ascii="Arial" w:eastAsiaTheme="majorEastAsia" w:hAnsi="Arial" w:cs="Arial"/>
        </w:rPr>
        <w:t xml:space="preserve"> Se define como el conjunto de comportamientos observables que están relacionados causalmente con un desempeño óptimo en un puesto de trabajo y en una organización concreta. Incluyen conocimientos, capacidades (habilidades prácticas) y actitudes (disposición para actuar).</w:t>
      </w:r>
    </w:p>
    <w:p w14:paraId="610738D4"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Itinerarios formativos y de carrera:</w:t>
      </w:r>
      <w:r w:rsidRPr="0034786C">
        <w:rPr>
          <w:rStyle w:val="ng-star-inserted"/>
          <w:rFonts w:ascii="Arial" w:eastAsiaTheme="majorEastAsia" w:hAnsi="Arial" w:cs="Arial"/>
        </w:rPr>
        <w:t xml:space="preserve"> Son trayectorias estructuradas de aprendizaje y desarrollo profesional que permiten al personal avanzar progresivamente en su capacitación, diseñadas en coherencia con los marcos de competencias.</w:t>
      </w:r>
    </w:p>
    <w:p w14:paraId="6D1BFFEB"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Certificación / Acreditación:</w:t>
      </w:r>
      <w:r w:rsidRPr="0034786C">
        <w:rPr>
          <w:rStyle w:val="ng-star-inserted"/>
          <w:rFonts w:ascii="Arial" w:eastAsiaTheme="majorEastAsia" w:hAnsi="Arial" w:cs="Arial"/>
        </w:rPr>
        <w:t xml:space="preserve"> Proceso mediante el cual una institución avala que un empleado o empleada ha alcanzado un determinado nivel de competencia profesional o dominio, lo cual puede ser necesario para acceder a ciertos puestos.</w:t>
      </w:r>
    </w:p>
    <w:p w14:paraId="6635D194"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Homologación y Reconocimiento recíproco:</w:t>
      </w:r>
      <w:r w:rsidRPr="0034786C">
        <w:rPr>
          <w:rStyle w:val="ng-star-inserted"/>
          <w:rFonts w:ascii="Arial" w:eastAsiaTheme="majorEastAsia" w:hAnsi="Arial" w:cs="Arial"/>
        </w:rPr>
        <w:t xml:space="preserve"> Proceso orientado a que las certificaciones obtenidas en distintas administraciones públicas sean reconocidas mutuamente, facilitando la movilidad y el desarrollo profesional del personal público.</w:t>
      </w:r>
    </w:p>
    <w:p w14:paraId="4D25DA31" w14:textId="77777777" w:rsidR="00C27DBE" w:rsidRPr="0034786C" w:rsidRDefault="00C27DBE" w:rsidP="002A3022">
      <w:pPr>
        <w:spacing w:line="360" w:lineRule="auto"/>
        <w:jc w:val="both"/>
        <w:rPr>
          <w:rStyle w:val="ng-star-inserted"/>
          <w:rFonts w:ascii="Arial" w:eastAsiaTheme="majorEastAsia" w:hAnsi="Arial" w:cs="Arial"/>
        </w:rPr>
      </w:pPr>
    </w:p>
    <w:p w14:paraId="090441A3" w14:textId="1964DAAD"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¿Son idénticos?</w:t>
      </w:r>
    </w:p>
    <w:p w14:paraId="0356BDB2" w14:textId="77777777" w:rsidR="00C27DBE" w:rsidRPr="0034786C" w:rsidRDefault="00C27DBE" w:rsidP="002A3022">
      <w:pPr>
        <w:spacing w:line="360" w:lineRule="auto"/>
        <w:jc w:val="both"/>
        <w:rPr>
          <w:rFonts w:ascii="Arial" w:hAnsi="Arial" w:cs="Arial"/>
        </w:rPr>
      </w:pPr>
      <w:r w:rsidRPr="0034786C">
        <w:rPr>
          <w:rFonts w:ascii="Arial" w:hAnsi="Arial" w:cs="Arial"/>
          <w:b/>
          <w:bCs/>
        </w:rPr>
        <w:t>No, no son idénticos.</w:t>
      </w:r>
      <w:r w:rsidRPr="0034786C">
        <w:rPr>
          <w:rStyle w:val="ng-star-inserted"/>
          <w:rFonts w:ascii="Arial" w:eastAsiaTheme="majorEastAsia" w:hAnsi="Arial" w:cs="Arial"/>
        </w:rPr>
        <w:t xml:space="preserve"> Aunque comparten la misma filosofía de base, la arquitectura, la agrupación y la denominación específica de los marcos varían según la administración:</w:t>
      </w:r>
    </w:p>
    <w:p w14:paraId="31B800F9"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 xml:space="preserve">• </w:t>
      </w:r>
      <w:r w:rsidRPr="0034786C">
        <w:rPr>
          <w:rFonts w:ascii="Arial" w:hAnsi="Arial" w:cs="Arial"/>
          <w:b/>
          <w:bCs/>
        </w:rPr>
        <w:t>Estructuralmente difieren:</w:t>
      </w:r>
      <w:r w:rsidRPr="0034786C">
        <w:rPr>
          <w:rStyle w:val="ng-star-inserted"/>
          <w:rFonts w:ascii="Arial" w:eastAsiaTheme="majorEastAsia" w:hAnsi="Arial" w:cs="Arial"/>
        </w:rPr>
        <w:t xml:space="preserve"> El INAP organiza su "Ecosistema Competencial" en tres niveles (estratégico, común y específico) y desarrolla marcos verticales hiper-detallados (como el Marco de Evaluación o el Marco de Contratación). Andalucía estructura su modelo directivo en cinco "clústeres" orientados al "Liderazgo Transformador". Asturias plantea un "Nuevo Mapa de Competencias" dividido en cuatro áreas principales (madurez digital, valores públicos, etc.).</w:t>
      </w:r>
    </w:p>
    <w:p w14:paraId="7B0A29D8" w14:textId="77777777" w:rsidR="00C27DBE" w:rsidRPr="0034786C" w:rsidRDefault="00C27DBE" w:rsidP="002A3022">
      <w:pPr>
        <w:spacing w:line="360" w:lineRule="auto"/>
        <w:jc w:val="both"/>
        <w:rPr>
          <w:rStyle w:val="ng-star-inserted"/>
          <w:rFonts w:ascii="Arial" w:eastAsiaTheme="majorEastAsia" w:hAnsi="Arial" w:cs="Arial"/>
        </w:rPr>
      </w:pPr>
      <w:r w:rsidRPr="0034786C">
        <w:rPr>
          <w:rStyle w:val="ng-star-inserted"/>
          <w:rFonts w:ascii="Arial" w:eastAsiaTheme="majorEastAsia" w:hAnsi="Arial" w:cs="Arial"/>
        </w:rPr>
        <w:t xml:space="preserve">• </w:t>
      </w:r>
      <w:r w:rsidRPr="0034786C">
        <w:rPr>
          <w:rFonts w:ascii="Arial" w:hAnsi="Arial" w:cs="Arial"/>
          <w:b/>
          <w:bCs/>
        </w:rPr>
        <w:t>Enfoque metodológico:</w:t>
      </w:r>
      <w:r w:rsidRPr="0034786C">
        <w:rPr>
          <w:rStyle w:val="ng-star-inserted"/>
          <w:rFonts w:ascii="Arial" w:eastAsiaTheme="majorEastAsia" w:hAnsi="Arial" w:cs="Arial"/>
        </w:rPr>
        <w:t xml:space="preserve"> Las herramientas base a veces difieren o se adaptan de forma particular. Por ejemplo, para las competencias digitales, el INAP se basa expresamente en el marco europeo DIGCOMP, mientras que el INAP para contratación usa el </w:t>
      </w:r>
      <w:proofErr w:type="spellStart"/>
      <w:r w:rsidRPr="0034786C">
        <w:rPr>
          <w:rStyle w:val="ng-star-inserted"/>
          <w:rFonts w:ascii="Arial" w:eastAsiaTheme="majorEastAsia" w:hAnsi="Arial" w:cs="Arial"/>
        </w:rPr>
        <w:t>ProcurCompEU</w:t>
      </w:r>
      <w:proofErr w:type="spellEnd"/>
      <w:r w:rsidRPr="0034786C">
        <w:rPr>
          <w:rStyle w:val="ng-star-inserted"/>
          <w:rFonts w:ascii="Arial" w:eastAsiaTheme="majorEastAsia" w:hAnsi="Arial" w:cs="Arial"/>
        </w:rPr>
        <w:t xml:space="preserve"> simplificándolo. Asturias fusiona conceptos previos en macro-competencias como "Trabajo en Entornos Híbridos y Colaborativos".</w:t>
      </w:r>
    </w:p>
    <w:p w14:paraId="45599BFE" w14:textId="77777777" w:rsidR="00C27DBE" w:rsidRPr="0034786C" w:rsidRDefault="00C27DBE" w:rsidP="002A3022">
      <w:pPr>
        <w:spacing w:line="360" w:lineRule="auto"/>
        <w:jc w:val="both"/>
        <w:rPr>
          <w:rFonts w:ascii="Arial" w:hAnsi="Arial" w:cs="Arial"/>
        </w:rPr>
      </w:pPr>
    </w:p>
    <w:p w14:paraId="4FF4380E"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¿Son compatibles?</w:t>
      </w:r>
    </w:p>
    <w:p w14:paraId="67176333" w14:textId="19C234EB" w:rsidR="00C27DBE" w:rsidRPr="0034786C" w:rsidRDefault="00C27DBE" w:rsidP="002A3022">
      <w:pPr>
        <w:spacing w:line="360" w:lineRule="auto"/>
        <w:jc w:val="both"/>
        <w:rPr>
          <w:rFonts w:ascii="Arial" w:hAnsi="Arial" w:cs="Arial"/>
        </w:rPr>
      </w:pPr>
      <w:r w:rsidRPr="0034786C">
        <w:rPr>
          <w:rFonts w:ascii="Arial" w:hAnsi="Arial" w:cs="Arial"/>
          <w:b/>
          <w:bCs/>
        </w:rPr>
        <w:t>Sí, son plenamente compatibles.</w:t>
      </w:r>
      <w:r w:rsidRPr="0034786C">
        <w:rPr>
          <w:rStyle w:val="ng-star-inserted"/>
          <w:rFonts w:ascii="Arial" w:eastAsiaTheme="majorEastAsia" w:hAnsi="Arial" w:cs="Arial"/>
        </w:rPr>
        <w:t xml:space="preserve"> </w:t>
      </w:r>
    </w:p>
    <w:p w14:paraId="07458DDF" w14:textId="77777777" w:rsidR="00C27DBE" w:rsidRPr="0034786C" w:rsidRDefault="00C27DBE" w:rsidP="002A3022">
      <w:pPr>
        <w:spacing w:line="360" w:lineRule="auto"/>
        <w:jc w:val="both"/>
        <w:rPr>
          <w:rFonts w:ascii="Arial" w:hAnsi="Arial" w:cs="Arial"/>
        </w:rPr>
      </w:pPr>
      <w:r w:rsidRPr="0034786C">
        <w:rPr>
          <w:rStyle w:val="ng-star-inserted"/>
          <w:rFonts w:ascii="Arial" w:eastAsiaTheme="majorEastAsia" w:hAnsi="Arial" w:cs="Arial"/>
        </w:rPr>
        <w:t>La compatibilidad se demuestra en los siguientes puntos:</w:t>
      </w:r>
    </w:p>
    <w:p w14:paraId="16175BEE" w14:textId="1704AC4F" w:rsidR="00C27DBE" w:rsidRPr="0034786C" w:rsidRDefault="00C27DBE" w:rsidP="002A3022">
      <w:pPr>
        <w:spacing w:line="360" w:lineRule="auto"/>
        <w:jc w:val="both"/>
        <w:rPr>
          <w:rFonts w:ascii="Arial" w:hAnsi="Arial" w:cs="Arial"/>
          <w:b/>
          <w:bCs/>
          <w:i/>
          <w:iCs/>
        </w:rPr>
      </w:pPr>
      <w:r w:rsidRPr="0034786C">
        <w:rPr>
          <w:rStyle w:val="ng-star-inserted"/>
          <w:rFonts w:ascii="Arial" w:eastAsiaTheme="majorEastAsia" w:hAnsi="Arial" w:cs="Arial"/>
        </w:rPr>
        <w:t>1</w:t>
      </w:r>
      <w:r w:rsidRPr="0034786C">
        <w:rPr>
          <w:rStyle w:val="ng-star-inserted"/>
          <w:rFonts w:ascii="Arial" w:eastAsiaTheme="majorEastAsia" w:hAnsi="Arial" w:cs="Arial"/>
        </w:rPr>
        <w:t xml:space="preserve">. </w:t>
      </w:r>
      <w:r w:rsidRPr="0034786C">
        <w:rPr>
          <w:rFonts w:ascii="Arial" w:hAnsi="Arial" w:cs="Arial"/>
          <w:b/>
          <w:bCs/>
        </w:rPr>
        <w:t>Áreas de convergencia:</w:t>
      </w:r>
      <w:r w:rsidRPr="0034786C">
        <w:rPr>
          <w:rStyle w:val="ng-star-inserted"/>
          <w:rFonts w:ascii="Arial" w:eastAsiaTheme="majorEastAsia" w:hAnsi="Arial" w:cs="Arial"/>
        </w:rPr>
        <w:t xml:space="preserve"> Los documentos reconocen que, independientemente de la administración, existen funciones comunes (</w:t>
      </w:r>
      <w:r w:rsidRPr="0034786C">
        <w:rPr>
          <w:rStyle w:val="ng-star-inserted"/>
          <w:rFonts w:ascii="Arial" w:eastAsiaTheme="majorEastAsia" w:hAnsi="Arial" w:cs="Arial"/>
          <w:b/>
          <w:bCs/>
          <w:i/>
          <w:iCs/>
        </w:rPr>
        <w:t>gestión de recursos humanos, contratación pública, presupuestos</w:t>
      </w:r>
      <w:r w:rsidRPr="0034786C">
        <w:rPr>
          <w:rStyle w:val="ng-star-inserted"/>
          <w:rFonts w:ascii="Arial" w:eastAsiaTheme="majorEastAsia" w:hAnsi="Arial" w:cs="Arial"/>
        </w:rPr>
        <w:t xml:space="preserve">) que constituyen "espacios de convergencia institucional" donde es perfectamente viable </w:t>
      </w:r>
      <w:r w:rsidRPr="0034786C">
        <w:rPr>
          <w:rStyle w:val="ng-star-inserted"/>
          <w:rFonts w:ascii="Arial" w:eastAsiaTheme="majorEastAsia" w:hAnsi="Arial" w:cs="Arial"/>
          <w:b/>
          <w:bCs/>
          <w:i/>
          <w:iCs/>
        </w:rPr>
        <w:t>establecer estándares compartidos de profesionalización y certificación.</w:t>
      </w:r>
    </w:p>
    <w:p w14:paraId="09567BDD" w14:textId="77777777" w:rsidR="0034786C" w:rsidRPr="0034786C" w:rsidRDefault="00C27DBE" w:rsidP="002A3022">
      <w:pPr>
        <w:spacing w:line="360" w:lineRule="auto"/>
        <w:jc w:val="both"/>
        <w:rPr>
          <w:rStyle w:val="ng-star-inserted"/>
          <w:rFonts w:ascii="Arial" w:eastAsiaTheme="majorEastAsia" w:hAnsi="Arial" w:cs="Arial"/>
          <w:b/>
          <w:bCs/>
          <w:i/>
          <w:iCs/>
        </w:rPr>
        <w:sectPr w:rsidR="0034786C" w:rsidRPr="0034786C">
          <w:pgSz w:w="11906" w:h="16838"/>
          <w:pgMar w:top="1417" w:right="1701" w:bottom="1417" w:left="1701" w:header="708" w:footer="708" w:gutter="0"/>
          <w:cols w:space="708"/>
          <w:docGrid w:linePitch="360"/>
        </w:sectPr>
      </w:pPr>
      <w:r w:rsidRPr="0034786C">
        <w:rPr>
          <w:rStyle w:val="ng-star-inserted"/>
          <w:rFonts w:ascii="Arial" w:eastAsiaTheme="majorEastAsia" w:hAnsi="Arial" w:cs="Arial"/>
        </w:rPr>
        <w:t>2</w:t>
      </w:r>
      <w:r w:rsidRPr="0034786C">
        <w:rPr>
          <w:rStyle w:val="ng-star-inserted"/>
          <w:rFonts w:ascii="Arial" w:eastAsiaTheme="majorEastAsia" w:hAnsi="Arial" w:cs="Arial"/>
        </w:rPr>
        <w:t xml:space="preserve">. </w:t>
      </w:r>
      <w:r w:rsidRPr="0034786C">
        <w:rPr>
          <w:rFonts w:ascii="Arial" w:hAnsi="Arial" w:cs="Arial"/>
          <w:b/>
          <w:bCs/>
        </w:rPr>
        <w:t>Dimensiones compartidas:</w:t>
      </w:r>
      <w:r w:rsidRPr="0034786C">
        <w:rPr>
          <w:rStyle w:val="ng-star-inserted"/>
          <w:rFonts w:ascii="Arial" w:eastAsiaTheme="majorEastAsia" w:hAnsi="Arial" w:cs="Arial"/>
        </w:rPr>
        <w:t xml:space="preserve"> </w:t>
      </w:r>
      <w:r w:rsidRPr="0034786C">
        <w:rPr>
          <w:rStyle w:val="ng-star-inserted"/>
          <w:rFonts w:ascii="Arial" w:eastAsiaTheme="majorEastAsia" w:hAnsi="Arial" w:cs="Arial"/>
          <w:b/>
          <w:bCs/>
          <w:i/>
          <w:iCs/>
        </w:rPr>
        <w:t>Todos los modelos asumen que las competencias deben medirse mediante "niveles de dominio" (generalmente básico, intermedio y experto/avanzado) y comparten dimensiones de validez funcional, territorial y temporal para poder encajar unas con otras.</w:t>
      </w:r>
    </w:p>
    <w:p w14:paraId="289FA825" w14:textId="74159116" w:rsidR="00745417" w:rsidRPr="0034786C" w:rsidRDefault="00745417" w:rsidP="002A3022">
      <w:pPr>
        <w:spacing w:line="360" w:lineRule="auto"/>
        <w:jc w:val="both"/>
        <w:rPr>
          <w:rStyle w:val="ng-star-inserted"/>
          <w:rFonts w:ascii="Arial" w:eastAsiaTheme="majorEastAsia" w:hAnsi="Arial" w:cs="Arial"/>
          <w:b/>
          <w:bCs/>
        </w:rPr>
      </w:pPr>
      <w:r w:rsidRPr="0034786C">
        <w:rPr>
          <w:rStyle w:val="ng-star-inserted"/>
          <w:rFonts w:ascii="Arial" w:eastAsiaTheme="majorEastAsia" w:hAnsi="Arial" w:cs="Arial"/>
          <w:b/>
          <w:bCs/>
        </w:rPr>
        <w:lastRenderedPageBreak/>
        <w:t xml:space="preserve">II.- EL MARCO COMPETENCIAL COMÚN: </w:t>
      </w:r>
      <w:r>
        <w:rPr>
          <w:rStyle w:val="ng-star-inserted"/>
          <w:rFonts w:ascii="Arial" w:eastAsiaTheme="majorEastAsia" w:hAnsi="Arial" w:cs="Arial"/>
          <w:b/>
          <w:bCs/>
        </w:rPr>
        <w:t>PROPUESTAS</w:t>
      </w:r>
    </w:p>
    <w:p w14:paraId="42FDC48B" w14:textId="456737AF" w:rsidR="00745417" w:rsidRDefault="00745417" w:rsidP="002A3022">
      <w:pPr>
        <w:spacing w:line="360" w:lineRule="auto"/>
      </w:pPr>
    </w:p>
    <w:p w14:paraId="1C69D9A5" w14:textId="77777777"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Este modelo de síntesis adopta la arquitectura estructurada del Ecosistema del INAP, pero se enriquece con el enfoque humano y de liderazgo de Andalucía y la visión de sostenibilidad y diversidad de Asturias. Su objetivo final es servir de base para el </w:t>
      </w:r>
      <w:r w:rsidRPr="00745417">
        <w:rPr>
          <w:rFonts w:ascii="Arial" w:hAnsi="Arial" w:cs="Arial"/>
          <w:b/>
          <w:bCs/>
        </w:rPr>
        <w:t>reconocimiento recíproco de certificaciones</w:t>
      </w:r>
      <w:r w:rsidRPr="00745417">
        <w:rPr>
          <w:rStyle w:val="ng-star-inserted"/>
          <w:rFonts w:ascii="Arial" w:eastAsiaTheme="majorEastAsia" w:hAnsi="Arial" w:cs="Arial"/>
        </w:rPr>
        <w:t xml:space="preserve"> entre distintas administraciones.</w:t>
      </w:r>
    </w:p>
    <w:p w14:paraId="0BF4D2AD" w14:textId="77777777" w:rsidR="00745417" w:rsidRPr="00745417" w:rsidRDefault="00745417" w:rsidP="002A3022">
      <w:pPr>
        <w:spacing w:line="360" w:lineRule="auto"/>
        <w:jc w:val="both"/>
        <w:rPr>
          <w:rFonts w:ascii="Arial" w:hAnsi="Arial" w:cs="Arial"/>
        </w:rPr>
      </w:pPr>
    </w:p>
    <w:p w14:paraId="23CF5DEB" w14:textId="6D7A0A14" w:rsidR="00745417" w:rsidRPr="00745417" w:rsidRDefault="00745417" w:rsidP="002A3022">
      <w:pPr>
        <w:spacing w:line="360" w:lineRule="auto"/>
        <w:jc w:val="both"/>
        <w:rPr>
          <w:rFonts w:ascii="Arial" w:hAnsi="Arial" w:cs="Arial"/>
          <w:b/>
          <w:bCs/>
        </w:rPr>
      </w:pPr>
      <w:r>
        <w:rPr>
          <w:rStyle w:val="ng-star-inserted"/>
          <w:rFonts w:ascii="Arial" w:eastAsiaTheme="majorEastAsia" w:hAnsi="Arial" w:cs="Arial"/>
          <w:b/>
          <w:bCs/>
        </w:rPr>
        <w:t xml:space="preserve">1.- </w:t>
      </w:r>
      <w:r w:rsidRPr="00745417">
        <w:rPr>
          <w:rStyle w:val="ng-star-inserted"/>
          <w:rFonts w:ascii="Arial" w:eastAsiaTheme="majorEastAsia" w:hAnsi="Arial" w:cs="Arial"/>
          <w:b/>
          <w:bCs/>
        </w:rPr>
        <w:t>Arquitectura del Marco Común (3 Niveles)</w:t>
      </w:r>
    </w:p>
    <w:p w14:paraId="3529616B" w14:textId="77777777" w:rsidR="00745417" w:rsidRDefault="00745417" w:rsidP="002A3022">
      <w:pPr>
        <w:spacing w:line="360" w:lineRule="auto"/>
        <w:jc w:val="both"/>
        <w:rPr>
          <w:rStyle w:val="ng-star-inserted"/>
          <w:rFonts w:ascii="Arial" w:eastAsiaTheme="majorEastAsia" w:hAnsi="Arial" w:cs="Arial"/>
        </w:rPr>
      </w:pPr>
    </w:p>
    <w:p w14:paraId="6552C514" w14:textId="5482B36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Para garantizar la interoperabilidad entre el Estado y las CCAA, el marco </w:t>
      </w:r>
      <w:r>
        <w:rPr>
          <w:rStyle w:val="ng-star-inserted"/>
          <w:rFonts w:ascii="Arial" w:eastAsiaTheme="majorEastAsia" w:hAnsi="Arial" w:cs="Arial"/>
        </w:rPr>
        <w:t>podría</w:t>
      </w:r>
      <w:r w:rsidRPr="00745417">
        <w:rPr>
          <w:rStyle w:val="ng-star-inserted"/>
          <w:rFonts w:ascii="Arial" w:eastAsiaTheme="majorEastAsia" w:hAnsi="Arial" w:cs="Arial"/>
        </w:rPr>
        <w:t xml:space="preserve"> estructurarse en los tres niveles propuestos por el modelo de la Administración del Estado:</w:t>
      </w:r>
    </w:p>
    <w:p w14:paraId="335F7FC3"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1. </w:t>
      </w:r>
      <w:r w:rsidRPr="00745417">
        <w:rPr>
          <w:rFonts w:ascii="Arial" w:hAnsi="Arial" w:cs="Arial"/>
          <w:b/>
          <w:bCs/>
        </w:rPr>
        <w:t>Nivel Estratégico (Competencias Nucleares):</w:t>
      </w:r>
      <w:r w:rsidRPr="00745417">
        <w:rPr>
          <w:rStyle w:val="ng-star-inserted"/>
          <w:rFonts w:ascii="Arial" w:eastAsiaTheme="majorEastAsia" w:hAnsi="Arial" w:cs="Arial"/>
        </w:rPr>
        <w:t xml:space="preserve"> Valores y comportamientos fundamentales que todo empleado público debe poseer desde su selección, independientemente de su puesto.</w:t>
      </w:r>
    </w:p>
    <w:p w14:paraId="71B51A1A"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2. </w:t>
      </w:r>
      <w:r w:rsidRPr="00745417">
        <w:rPr>
          <w:rFonts w:ascii="Arial" w:hAnsi="Arial" w:cs="Arial"/>
          <w:b/>
          <w:bCs/>
        </w:rPr>
        <w:t>Nivel Transversal (Competencias Comunes):</w:t>
      </w:r>
      <w:r w:rsidRPr="00745417">
        <w:rPr>
          <w:rStyle w:val="ng-star-inserted"/>
          <w:rFonts w:ascii="Arial" w:eastAsiaTheme="majorEastAsia" w:hAnsi="Arial" w:cs="Arial"/>
        </w:rPr>
        <w:t xml:space="preserve"> Habilidades aplicables a múltiples entornos (tecnológicos, organizativos e interpersonales), incluyendo el desempeño directivo y el teletrabajo.</w:t>
      </w:r>
    </w:p>
    <w:p w14:paraId="4BB75579"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3. </w:t>
      </w:r>
      <w:r w:rsidRPr="00745417">
        <w:rPr>
          <w:rFonts w:ascii="Arial" w:hAnsi="Arial" w:cs="Arial"/>
          <w:b/>
          <w:bCs/>
        </w:rPr>
        <w:t>Nivel Específico (Competencias Técnicas):</w:t>
      </w:r>
      <w:r w:rsidRPr="00745417">
        <w:rPr>
          <w:rStyle w:val="ng-star-inserted"/>
          <w:rFonts w:ascii="Arial" w:eastAsiaTheme="majorEastAsia" w:hAnsi="Arial" w:cs="Arial"/>
        </w:rPr>
        <w:t xml:space="preserve"> Conocimientos y destrezas aplicados a las áreas funcionales concretas (ej. contratación, recursos humanos, presupuestos).</w:t>
      </w:r>
    </w:p>
    <w:p w14:paraId="0F8AA258" w14:textId="77777777" w:rsidR="00745417" w:rsidRDefault="00745417" w:rsidP="002A3022">
      <w:pPr>
        <w:spacing w:line="360" w:lineRule="auto"/>
        <w:jc w:val="both"/>
        <w:rPr>
          <w:rStyle w:val="ng-star-inserted"/>
          <w:rFonts w:ascii="Arial" w:eastAsiaTheme="majorEastAsia" w:hAnsi="Arial" w:cs="Arial"/>
        </w:rPr>
      </w:pPr>
    </w:p>
    <w:p w14:paraId="495DED61" w14:textId="5712C765" w:rsidR="00745417" w:rsidRPr="00745417" w:rsidRDefault="00745417" w:rsidP="002A3022">
      <w:pPr>
        <w:spacing w:line="360" w:lineRule="auto"/>
        <w:jc w:val="both"/>
        <w:rPr>
          <w:rFonts w:ascii="Arial" w:hAnsi="Arial" w:cs="Arial"/>
          <w:b/>
          <w:bCs/>
        </w:rPr>
      </w:pPr>
      <w:r>
        <w:rPr>
          <w:rStyle w:val="ng-star-inserted"/>
          <w:rFonts w:ascii="Arial" w:eastAsiaTheme="majorEastAsia" w:hAnsi="Arial" w:cs="Arial"/>
          <w:b/>
          <w:bCs/>
        </w:rPr>
        <w:t xml:space="preserve">2.- </w:t>
      </w:r>
      <w:r w:rsidRPr="00745417">
        <w:rPr>
          <w:rStyle w:val="ng-star-inserted"/>
          <w:rFonts w:ascii="Arial" w:eastAsiaTheme="majorEastAsia" w:hAnsi="Arial" w:cs="Arial"/>
          <w:b/>
          <w:bCs/>
        </w:rPr>
        <w:t>Ejes Competenciales del Marco Común</w:t>
      </w:r>
    </w:p>
    <w:p w14:paraId="33688BF7" w14:textId="77777777"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Integrando los diccionarios de las distintas administraciones, las competencias se agruparían en </w:t>
      </w:r>
      <w:r w:rsidRPr="00745417">
        <w:rPr>
          <w:rFonts w:ascii="Arial" w:hAnsi="Arial" w:cs="Arial"/>
          <w:b/>
          <w:bCs/>
        </w:rPr>
        <w:t>5 grandes Ejes o Clústeres</w:t>
      </w:r>
      <w:r w:rsidRPr="00745417">
        <w:rPr>
          <w:rStyle w:val="ng-star-inserted"/>
          <w:rFonts w:ascii="Arial" w:eastAsiaTheme="majorEastAsia" w:hAnsi="Arial" w:cs="Arial"/>
        </w:rPr>
        <w:t>:</w:t>
      </w:r>
    </w:p>
    <w:p w14:paraId="51CFA1E2" w14:textId="77777777" w:rsidR="00745417" w:rsidRPr="00745417" w:rsidRDefault="00745417" w:rsidP="002A3022">
      <w:pPr>
        <w:spacing w:line="360" w:lineRule="auto"/>
        <w:jc w:val="both"/>
        <w:rPr>
          <w:rFonts w:ascii="Arial" w:hAnsi="Arial" w:cs="Arial"/>
        </w:rPr>
      </w:pPr>
    </w:p>
    <w:p w14:paraId="4CCE4185" w14:textId="77777777" w:rsidR="00745417" w:rsidRPr="00745417" w:rsidRDefault="00745417" w:rsidP="002A3022">
      <w:pPr>
        <w:spacing w:line="360" w:lineRule="auto"/>
        <w:jc w:val="both"/>
        <w:rPr>
          <w:rFonts w:ascii="Arial" w:hAnsi="Arial" w:cs="Arial"/>
          <w:b/>
          <w:bCs/>
          <w:i/>
          <w:iCs/>
          <w:u w:val="single"/>
        </w:rPr>
      </w:pPr>
      <w:r w:rsidRPr="00745417">
        <w:rPr>
          <w:rStyle w:val="ng-star-inserted"/>
          <w:rFonts w:ascii="Arial" w:eastAsiaTheme="majorEastAsia" w:hAnsi="Arial" w:cs="Arial"/>
          <w:b/>
          <w:bCs/>
          <w:i/>
          <w:iCs/>
          <w:u w:val="single"/>
        </w:rPr>
        <w:t>Eje 1: Valores Públicos, Ética y Servicio a la Ciudadanía (Nivel Estratégico)</w:t>
      </w:r>
    </w:p>
    <w:p w14:paraId="1FB46D66"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Este eje fusiona el marco de Integridad del INAP con los valores nucleares destacados en Asturias y Andalucía:</w:t>
      </w:r>
    </w:p>
    <w:p w14:paraId="67D5B2FA"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Orientación y Servicio a la Ciudadanía:</w:t>
      </w:r>
      <w:r w:rsidRPr="00745417">
        <w:rPr>
          <w:rStyle w:val="ng-star-inserted"/>
          <w:rFonts w:ascii="Arial" w:eastAsiaTheme="majorEastAsia" w:hAnsi="Arial" w:cs="Arial"/>
        </w:rPr>
        <w:t xml:space="preserve"> Enfoque en la experiencia de la ciudadanía y los principios del Gobierno Abierto.</w:t>
      </w:r>
    </w:p>
    <w:p w14:paraId="0C400142"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lastRenderedPageBreak/>
        <w:t xml:space="preserve">• </w:t>
      </w:r>
      <w:r w:rsidRPr="00745417">
        <w:rPr>
          <w:rFonts w:ascii="Arial" w:hAnsi="Arial" w:cs="Arial"/>
          <w:b/>
          <w:bCs/>
        </w:rPr>
        <w:t>Integridad, Ética y Transparencia:</w:t>
      </w:r>
      <w:r w:rsidRPr="00745417">
        <w:rPr>
          <w:rStyle w:val="ng-star-inserted"/>
          <w:rFonts w:ascii="Arial" w:eastAsiaTheme="majorEastAsia" w:hAnsi="Arial" w:cs="Arial"/>
        </w:rPr>
        <w:t xml:space="preserve"> Actuación profesional regida por la responsabilidad, rendición de cuentas, prevención del fraude y priorización de intereses públicos.</w:t>
      </w:r>
    </w:p>
    <w:p w14:paraId="0E7CEBB0"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Igualdad, Diversidad e Inclusión:</w:t>
      </w:r>
      <w:r w:rsidRPr="00745417">
        <w:rPr>
          <w:rStyle w:val="ng-star-inserted"/>
          <w:rFonts w:ascii="Arial" w:eastAsiaTheme="majorEastAsia" w:hAnsi="Arial" w:cs="Arial"/>
        </w:rPr>
        <w:t xml:space="preserve"> Aplicación transversal de la perspectiva de género y atención a la diversidad social en el diseño de políticas (aportación del modelo asturiano).</w:t>
      </w:r>
    </w:p>
    <w:p w14:paraId="7CC30783" w14:textId="2D8E4E4D"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 </w:t>
      </w:r>
      <w:r w:rsidRPr="00745417">
        <w:rPr>
          <w:rFonts w:ascii="Arial" w:hAnsi="Arial" w:cs="Arial"/>
          <w:b/>
          <w:bCs/>
        </w:rPr>
        <w:t>Sostenibilidad y Agenda 2030:</w:t>
      </w:r>
      <w:r w:rsidRPr="00745417">
        <w:rPr>
          <w:rStyle w:val="ng-star-inserted"/>
          <w:rFonts w:ascii="Arial" w:eastAsiaTheme="majorEastAsia" w:hAnsi="Arial" w:cs="Arial"/>
        </w:rPr>
        <w:t xml:space="preserve"> Integración de criterios de eficiencia energética y economía circular en los servicios públicos.</w:t>
      </w:r>
    </w:p>
    <w:p w14:paraId="773A44DF" w14:textId="77777777" w:rsidR="00745417" w:rsidRDefault="00745417" w:rsidP="002A3022">
      <w:pPr>
        <w:spacing w:line="360" w:lineRule="auto"/>
        <w:jc w:val="both"/>
        <w:rPr>
          <w:rStyle w:val="ng-star-inserted"/>
          <w:rFonts w:ascii="Arial" w:eastAsiaTheme="majorEastAsia" w:hAnsi="Arial" w:cs="Arial"/>
        </w:rPr>
      </w:pPr>
    </w:p>
    <w:p w14:paraId="399C8B9D" w14:textId="77777777" w:rsidR="00745417" w:rsidRPr="00745417" w:rsidRDefault="00745417" w:rsidP="002A3022">
      <w:pPr>
        <w:spacing w:line="360" w:lineRule="auto"/>
        <w:jc w:val="both"/>
        <w:rPr>
          <w:rFonts w:ascii="Arial" w:hAnsi="Arial" w:cs="Arial"/>
        </w:rPr>
      </w:pPr>
    </w:p>
    <w:p w14:paraId="36C7BABF" w14:textId="77777777" w:rsidR="00745417" w:rsidRPr="00745417" w:rsidRDefault="00745417" w:rsidP="002A3022">
      <w:pPr>
        <w:spacing w:line="360" w:lineRule="auto"/>
        <w:jc w:val="both"/>
        <w:rPr>
          <w:rFonts w:ascii="Arial" w:hAnsi="Arial" w:cs="Arial"/>
          <w:b/>
          <w:bCs/>
          <w:i/>
          <w:iCs/>
          <w:u w:val="single"/>
        </w:rPr>
      </w:pPr>
      <w:r w:rsidRPr="00745417">
        <w:rPr>
          <w:rStyle w:val="ng-star-inserted"/>
          <w:rFonts w:ascii="Arial" w:eastAsiaTheme="majorEastAsia" w:hAnsi="Arial" w:cs="Arial"/>
          <w:b/>
          <w:bCs/>
          <w:i/>
          <w:iCs/>
          <w:u w:val="single"/>
        </w:rPr>
        <w:t>Eje 2: Transformación Digital y Gestión de la Información (Nivel Transversal)</w:t>
      </w:r>
    </w:p>
    <w:p w14:paraId="2753FA25"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Basado en el marco </w:t>
      </w:r>
      <w:proofErr w:type="spellStart"/>
      <w:r w:rsidRPr="00745417">
        <w:rPr>
          <w:rStyle w:val="ng-star-inserted"/>
          <w:rFonts w:ascii="Arial" w:eastAsiaTheme="majorEastAsia" w:hAnsi="Arial" w:cs="Arial"/>
        </w:rPr>
        <w:t>DigComp</w:t>
      </w:r>
      <w:proofErr w:type="spellEnd"/>
      <w:r w:rsidRPr="00745417">
        <w:rPr>
          <w:rStyle w:val="ng-star-inserted"/>
          <w:rFonts w:ascii="Arial" w:eastAsiaTheme="majorEastAsia" w:hAnsi="Arial" w:cs="Arial"/>
        </w:rPr>
        <w:t xml:space="preserve"> y las actualizaciones autonómicas, superando la ofimática tradicional:</w:t>
      </w:r>
    </w:p>
    <w:p w14:paraId="5BB01F3A"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Alfabetización y Gobernanza del Dato:</w:t>
      </w:r>
      <w:r w:rsidRPr="00745417">
        <w:rPr>
          <w:rStyle w:val="ng-star-inserted"/>
          <w:rFonts w:ascii="Arial" w:eastAsiaTheme="majorEastAsia" w:hAnsi="Arial" w:cs="Arial"/>
        </w:rPr>
        <w:t xml:space="preserve"> Búsqueda, análisis y explotación ética de la información.</w:t>
      </w:r>
    </w:p>
    <w:p w14:paraId="0EAAE058"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Trabajo en Entornos Híbridos y Colaborativos:</w:t>
      </w:r>
      <w:r w:rsidRPr="00745417">
        <w:rPr>
          <w:rStyle w:val="ng-star-inserted"/>
          <w:rFonts w:ascii="Arial" w:eastAsiaTheme="majorEastAsia" w:hAnsi="Arial" w:cs="Arial"/>
        </w:rPr>
        <w:t xml:space="preserve"> Capacidad para el teletrabajo, uso de la nube y coordinación asíncrona.</w:t>
      </w:r>
    </w:p>
    <w:p w14:paraId="4C6D5580"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Inteligencia Artificial y Automatización:</w:t>
      </w:r>
      <w:r w:rsidRPr="00745417">
        <w:rPr>
          <w:rStyle w:val="ng-star-inserted"/>
          <w:rFonts w:ascii="Arial" w:eastAsiaTheme="majorEastAsia" w:hAnsi="Arial" w:cs="Arial"/>
        </w:rPr>
        <w:t xml:space="preserve"> Uso crítico y seguro de sistemas inteligentes y modelos fundacionales para automatizar tareas y optimizar procesos.</w:t>
      </w:r>
    </w:p>
    <w:p w14:paraId="1975FEEC"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Ciberseguridad y Protección de Datos:</w:t>
      </w:r>
      <w:r w:rsidRPr="00745417">
        <w:rPr>
          <w:rStyle w:val="ng-star-inserted"/>
          <w:rFonts w:ascii="Arial" w:eastAsiaTheme="majorEastAsia" w:hAnsi="Arial" w:cs="Arial"/>
        </w:rPr>
        <w:t xml:space="preserve"> Protección de dispositivos, de la identidad digital y garantía de los derechos digitales.</w:t>
      </w:r>
    </w:p>
    <w:p w14:paraId="5F92588A" w14:textId="77777777" w:rsidR="00745417" w:rsidRDefault="00745417" w:rsidP="002A3022">
      <w:pPr>
        <w:spacing w:line="360" w:lineRule="auto"/>
        <w:jc w:val="both"/>
        <w:rPr>
          <w:rStyle w:val="ng-star-inserted"/>
          <w:rFonts w:ascii="Arial" w:eastAsiaTheme="majorEastAsia" w:hAnsi="Arial" w:cs="Arial"/>
          <w:b/>
          <w:bCs/>
          <w:i/>
          <w:iCs/>
          <w:u w:val="single"/>
        </w:rPr>
      </w:pPr>
    </w:p>
    <w:p w14:paraId="5EC15B08" w14:textId="45A4D529" w:rsidR="00745417" w:rsidRPr="00745417" w:rsidRDefault="00745417" w:rsidP="002A3022">
      <w:pPr>
        <w:spacing w:line="360" w:lineRule="auto"/>
        <w:jc w:val="both"/>
        <w:rPr>
          <w:rFonts w:ascii="Arial" w:hAnsi="Arial" w:cs="Arial"/>
          <w:b/>
          <w:bCs/>
          <w:i/>
          <w:iCs/>
          <w:u w:val="single"/>
        </w:rPr>
      </w:pPr>
      <w:r w:rsidRPr="00745417">
        <w:rPr>
          <w:rStyle w:val="ng-star-inserted"/>
          <w:rFonts w:ascii="Arial" w:eastAsiaTheme="majorEastAsia" w:hAnsi="Arial" w:cs="Arial"/>
          <w:b/>
          <w:bCs/>
          <w:i/>
          <w:iCs/>
          <w:u w:val="single"/>
        </w:rPr>
        <w:t>Eje 3: Liderazgo Transformador y "</w:t>
      </w:r>
      <w:proofErr w:type="spellStart"/>
      <w:r w:rsidRPr="00745417">
        <w:rPr>
          <w:rStyle w:val="ng-star-inserted"/>
          <w:rFonts w:ascii="Arial" w:eastAsiaTheme="majorEastAsia" w:hAnsi="Arial" w:cs="Arial"/>
          <w:b/>
          <w:bCs/>
          <w:i/>
          <w:iCs/>
          <w:u w:val="single"/>
        </w:rPr>
        <w:t>Soft</w:t>
      </w:r>
      <w:proofErr w:type="spellEnd"/>
      <w:r w:rsidRPr="00745417">
        <w:rPr>
          <w:rStyle w:val="ng-star-inserted"/>
          <w:rFonts w:ascii="Arial" w:eastAsiaTheme="majorEastAsia" w:hAnsi="Arial" w:cs="Arial"/>
          <w:b/>
          <w:bCs/>
          <w:i/>
          <w:iCs/>
          <w:u w:val="single"/>
        </w:rPr>
        <w:t xml:space="preserve"> </w:t>
      </w:r>
      <w:proofErr w:type="spellStart"/>
      <w:r w:rsidRPr="00745417">
        <w:rPr>
          <w:rStyle w:val="ng-star-inserted"/>
          <w:rFonts w:ascii="Arial" w:eastAsiaTheme="majorEastAsia" w:hAnsi="Arial" w:cs="Arial"/>
          <w:b/>
          <w:bCs/>
          <w:i/>
          <w:iCs/>
          <w:u w:val="single"/>
        </w:rPr>
        <w:t>Skills</w:t>
      </w:r>
      <w:proofErr w:type="spellEnd"/>
      <w:r w:rsidRPr="00745417">
        <w:rPr>
          <w:rStyle w:val="ng-star-inserted"/>
          <w:rFonts w:ascii="Arial" w:eastAsiaTheme="majorEastAsia" w:hAnsi="Arial" w:cs="Arial"/>
          <w:b/>
          <w:bCs/>
          <w:i/>
          <w:iCs/>
          <w:u w:val="single"/>
        </w:rPr>
        <w:t>" (Nivel Transversal)</w:t>
      </w:r>
    </w:p>
    <w:p w14:paraId="048857C3" w14:textId="77777777" w:rsidR="00745417" w:rsidRDefault="00745417" w:rsidP="002A3022">
      <w:pPr>
        <w:spacing w:line="360" w:lineRule="auto"/>
        <w:jc w:val="both"/>
        <w:rPr>
          <w:rStyle w:val="ng-star-inserted"/>
          <w:rFonts w:ascii="Arial" w:eastAsiaTheme="majorEastAsia" w:hAnsi="Arial" w:cs="Arial"/>
        </w:rPr>
      </w:pPr>
    </w:p>
    <w:p w14:paraId="3ACE1DB2" w14:textId="0A29E6CF"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Inspirado fuertemente en el modelo de Andalucía y en las habilidades "blandas" para el teletrabajo del INAP:</w:t>
      </w:r>
    </w:p>
    <w:p w14:paraId="1055FCB3"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Comunicación Clara y Empática:</w:t>
      </w:r>
      <w:r w:rsidRPr="00745417">
        <w:rPr>
          <w:rStyle w:val="ng-star-inserted"/>
          <w:rFonts w:ascii="Arial" w:eastAsiaTheme="majorEastAsia" w:hAnsi="Arial" w:cs="Arial"/>
        </w:rPr>
        <w:t xml:space="preserve"> Capacidad de transmitir ideas adaptando el mensaje (lectura fácil) y escuchar de forma efectiva.</w:t>
      </w:r>
    </w:p>
    <w:p w14:paraId="4DCC19FF"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Autogestión Emocional:</w:t>
      </w:r>
      <w:r w:rsidRPr="00745417">
        <w:rPr>
          <w:rStyle w:val="ng-star-inserted"/>
          <w:rFonts w:ascii="Arial" w:eastAsiaTheme="majorEastAsia" w:hAnsi="Arial" w:cs="Arial"/>
        </w:rPr>
        <w:t xml:space="preserve"> Inteligencia emocional, manejo del estrés y adaptación a contextos complejos.</w:t>
      </w:r>
    </w:p>
    <w:p w14:paraId="2A0E239B"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Liderazgo de Servicio e Influencia:</w:t>
      </w:r>
      <w:r w:rsidRPr="00745417">
        <w:rPr>
          <w:rStyle w:val="ng-star-inserted"/>
          <w:rFonts w:ascii="Arial" w:eastAsiaTheme="majorEastAsia" w:hAnsi="Arial" w:cs="Arial"/>
        </w:rPr>
        <w:t xml:space="preserve"> Capacidad para inspirar, motivar, coordinar equipos y crear sinergias de ganancia mutua.</w:t>
      </w:r>
    </w:p>
    <w:p w14:paraId="7B78AE39"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lastRenderedPageBreak/>
        <w:t xml:space="preserve">• </w:t>
      </w:r>
      <w:r w:rsidRPr="00745417">
        <w:rPr>
          <w:rFonts w:ascii="Arial" w:hAnsi="Arial" w:cs="Arial"/>
          <w:b/>
          <w:bCs/>
        </w:rPr>
        <w:t>Resolución de Problemas y Toma de Decisiones:</w:t>
      </w:r>
      <w:r w:rsidRPr="00745417">
        <w:rPr>
          <w:rStyle w:val="ng-star-inserted"/>
          <w:rFonts w:ascii="Arial" w:eastAsiaTheme="majorEastAsia" w:hAnsi="Arial" w:cs="Arial"/>
        </w:rPr>
        <w:t xml:space="preserve"> Evaluar alternativas basadas en evidencias para alcanzar soluciones óptimas.</w:t>
      </w:r>
    </w:p>
    <w:p w14:paraId="53CB12C7" w14:textId="77777777" w:rsidR="00745417" w:rsidRDefault="00745417" w:rsidP="002A3022">
      <w:pPr>
        <w:spacing w:line="360" w:lineRule="auto"/>
        <w:jc w:val="both"/>
        <w:rPr>
          <w:rStyle w:val="ng-star-inserted"/>
          <w:rFonts w:ascii="Arial" w:eastAsiaTheme="majorEastAsia" w:hAnsi="Arial" w:cs="Arial"/>
          <w:b/>
          <w:bCs/>
          <w:i/>
          <w:iCs/>
          <w:u w:val="single"/>
        </w:rPr>
      </w:pPr>
    </w:p>
    <w:p w14:paraId="5FC0B465" w14:textId="7D9B8F08" w:rsidR="00745417" w:rsidRPr="00745417" w:rsidRDefault="00745417" w:rsidP="002A3022">
      <w:pPr>
        <w:spacing w:line="360" w:lineRule="auto"/>
        <w:jc w:val="both"/>
        <w:rPr>
          <w:rFonts w:ascii="Arial" w:hAnsi="Arial" w:cs="Arial"/>
          <w:b/>
          <w:bCs/>
          <w:i/>
          <w:iCs/>
          <w:u w:val="single"/>
        </w:rPr>
      </w:pPr>
      <w:r w:rsidRPr="00745417">
        <w:rPr>
          <w:rStyle w:val="ng-star-inserted"/>
          <w:rFonts w:ascii="Arial" w:eastAsiaTheme="majorEastAsia" w:hAnsi="Arial" w:cs="Arial"/>
          <w:b/>
          <w:bCs/>
          <w:i/>
          <w:iCs/>
          <w:u w:val="single"/>
        </w:rPr>
        <w:t>Eje 4: Innovación y Desarrollo Profesional Continuo (Nivel Transversal)</w:t>
      </w:r>
    </w:p>
    <w:p w14:paraId="7ED571E9"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Enfocado en la adaptación al cambio y la mejora de las organizaciones:</w:t>
      </w:r>
    </w:p>
    <w:p w14:paraId="5D7FF513"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Gestión del Cambio e Innovación:</w:t>
      </w:r>
      <w:r w:rsidRPr="00745417">
        <w:rPr>
          <w:rStyle w:val="ng-star-inserted"/>
          <w:rFonts w:ascii="Arial" w:eastAsiaTheme="majorEastAsia" w:hAnsi="Arial" w:cs="Arial"/>
        </w:rPr>
        <w:t xml:space="preserve"> Promover enfoques novedosos, rediseño de procesos y adaptación ágil a nuevas normativas o retos.</w:t>
      </w:r>
    </w:p>
    <w:p w14:paraId="10E9B64B"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Aprendizaje Social Colaborativo:</w:t>
      </w:r>
      <w:r w:rsidRPr="00745417">
        <w:rPr>
          <w:rStyle w:val="ng-star-inserted"/>
          <w:rFonts w:ascii="Arial" w:eastAsiaTheme="majorEastAsia" w:hAnsi="Arial" w:cs="Arial"/>
        </w:rPr>
        <w:t xml:space="preserve"> Creación de ecosistemas en red, comunidades de práctica y transmisión del conocimiento interno.</w:t>
      </w:r>
    </w:p>
    <w:p w14:paraId="71030D4C"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Pensamiento Crítico y Abierto:</w:t>
      </w:r>
      <w:r w:rsidRPr="00745417">
        <w:rPr>
          <w:rStyle w:val="ng-star-inserted"/>
          <w:rFonts w:ascii="Arial" w:eastAsiaTheme="majorEastAsia" w:hAnsi="Arial" w:cs="Arial"/>
        </w:rPr>
        <w:t xml:space="preserve"> Disposición constante para adquirir nuevas perspectivas y replantear modelos existentes.</w:t>
      </w:r>
    </w:p>
    <w:p w14:paraId="73684CEF" w14:textId="77777777" w:rsidR="00745417" w:rsidRDefault="00745417" w:rsidP="002A3022">
      <w:pPr>
        <w:spacing w:line="360" w:lineRule="auto"/>
        <w:jc w:val="both"/>
        <w:rPr>
          <w:rStyle w:val="ng-star-inserted"/>
          <w:rFonts w:ascii="Arial" w:eastAsiaTheme="majorEastAsia" w:hAnsi="Arial" w:cs="Arial"/>
          <w:b/>
          <w:bCs/>
          <w:i/>
          <w:iCs/>
          <w:u w:val="single"/>
        </w:rPr>
      </w:pPr>
    </w:p>
    <w:p w14:paraId="1D220357" w14:textId="309C3349" w:rsidR="00745417" w:rsidRPr="00745417" w:rsidRDefault="00745417" w:rsidP="002A3022">
      <w:pPr>
        <w:spacing w:line="360" w:lineRule="auto"/>
        <w:jc w:val="both"/>
        <w:rPr>
          <w:rFonts w:ascii="Arial" w:hAnsi="Arial" w:cs="Arial"/>
          <w:b/>
          <w:bCs/>
          <w:i/>
          <w:iCs/>
          <w:u w:val="single"/>
        </w:rPr>
      </w:pPr>
      <w:r w:rsidRPr="00745417">
        <w:rPr>
          <w:rStyle w:val="ng-star-inserted"/>
          <w:rFonts w:ascii="Arial" w:eastAsiaTheme="majorEastAsia" w:hAnsi="Arial" w:cs="Arial"/>
          <w:b/>
          <w:bCs/>
          <w:i/>
          <w:iCs/>
          <w:u w:val="single"/>
        </w:rPr>
        <w:t>Eje 5: Gestión Pública y Áreas Funcionales (Nivel Específico)</w:t>
      </w:r>
    </w:p>
    <w:p w14:paraId="3CE6D548"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Este eje aterriza en la vertiente técnica, estructurándose en áreas funcionales compartidas por todas las administraciones (espacios de convergencia institucional):</w:t>
      </w:r>
    </w:p>
    <w:p w14:paraId="7E90F93A"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Gestión Jurídico-Procedimental:</w:t>
      </w:r>
      <w:r w:rsidRPr="00745417">
        <w:rPr>
          <w:rStyle w:val="ng-star-inserted"/>
          <w:rFonts w:ascii="Arial" w:eastAsiaTheme="majorEastAsia" w:hAnsi="Arial" w:cs="Arial"/>
        </w:rPr>
        <w:t xml:space="preserve"> Rigor técnico en la instrucción de procedimientos.</w:t>
      </w:r>
    </w:p>
    <w:p w14:paraId="1AB6309E"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Gestión Económica y Presupuestaria</w:t>
      </w:r>
      <w:r w:rsidRPr="00745417">
        <w:rPr>
          <w:rStyle w:val="ng-star-inserted"/>
          <w:rFonts w:ascii="Arial" w:eastAsiaTheme="majorEastAsia" w:hAnsi="Arial" w:cs="Arial"/>
        </w:rPr>
        <w:t>.</w:t>
      </w:r>
    </w:p>
    <w:p w14:paraId="5A73CB54" w14:textId="7EB278C1"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Contratación Pública:</w:t>
      </w:r>
      <w:r w:rsidRPr="00745417">
        <w:rPr>
          <w:rStyle w:val="ng-star-inserted"/>
          <w:rFonts w:ascii="Arial" w:eastAsiaTheme="majorEastAsia" w:hAnsi="Arial" w:cs="Arial"/>
        </w:rPr>
        <w:t xml:space="preserve"> Basado en el modelo </w:t>
      </w:r>
      <w:proofErr w:type="spellStart"/>
      <w:r w:rsidRPr="00745417">
        <w:rPr>
          <w:rStyle w:val="ng-star-inserted"/>
          <w:rFonts w:ascii="Arial" w:eastAsiaTheme="majorEastAsia" w:hAnsi="Arial" w:cs="Arial"/>
        </w:rPr>
        <w:t>ProcurCompEU</w:t>
      </w:r>
      <w:proofErr w:type="spellEnd"/>
      <w:r>
        <w:rPr>
          <w:rStyle w:val="ng-star-inserted"/>
          <w:rFonts w:ascii="Arial" w:eastAsiaTheme="majorEastAsia" w:hAnsi="Arial" w:cs="Arial"/>
        </w:rPr>
        <w:t xml:space="preserve"> (</w:t>
      </w:r>
      <w:r w:rsidRPr="00745417">
        <w:rPr>
          <w:rStyle w:val="ng-star-inserted"/>
          <w:rFonts w:ascii="Arial" w:eastAsiaTheme="majorEastAsia" w:hAnsi="Arial" w:cs="Arial"/>
        </w:rPr>
        <w:t>el marco europeo de competencias para los profesionales de la contratación pública</w:t>
      </w:r>
      <w:r>
        <w:rPr>
          <w:rStyle w:val="ng-star-inserted"/>
          <w:rFonts w:ascii="Arial" w:eastAsiaTheme="majorEastAsia" w:hAnsi="Arial" w:cs="Arial"/>
        </w:rPr>
        <w:t>)</w:t>
      </w:r>
      <w:r w:rsidRPr="00745417">
        <w:rPr>
          <w:rStyle w:val="ng-star-inserted"/>
          <w:rFonts w:ascii="Arial" w:eastAsiaTheme="majorEastAsia" w:hAnsi="Arial" w:cs="Arial"/>
        </w:rPr>
        <w:t xml:space="preserve"> adaptado (estrategia, evaluación de necesidades, contratación electrónica y sostenible).</w:t>
      </w:r>
    </w:p>
    <w:p w14:paraId="274C3C9E"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 </w:t>
      </w:r>
      <w:r w:rsidRPr="00745417">
        <w:rPr>
          <w:rFonts w:ascii="Arial" w:hAnsi="Arial" w:cs="Arial"/>
          <w:b/>
          <w:bCs/>
        </w:rPr>
        <w:t>Evaluación de Políticas Públicas:</w:t>
      </w:r>
      <w:r w:rsidRPr="00745417">
        <w:rPr>
          <w:rStyle w:val="ng-star-inserted"/>
          <w:rFonts w:ascii="Arial" w:eastAsiaTheme="majorEastAsia" w:hAnsi="Arial" w:cs="Arial"/>
        </w:rPr>
        <w:t xml:space="preserve"> Competencias para el diseño de indicadores, metodologías cuantitativas/cualitativas y análisis de impacto.</w:t>
      </w:r>
    </w:p>
    <w:p w14:paraId="75C6782C" w14:textId="77777777" w:rsidR="00745417" w:rsidRDefault="00745417" w:rsidP="002A3022">
      <w:pPr>
        <w:spacing w:line="360" w:lineRule="auto"/>
        <w:jc w:val="both"/>
        <w:rPr>
          <w:rStyle w:val="ng-star-inserted"/>
          <w:rFonts w:ascii="Arial" w:eastAsiaTheme="majorEastAsia" w:hAnsi="Arial" w:cs="Arial"/>
        </w:rPr>
      </w:pPr>
    </w:p>
    <w:p w14:paraId="4A3020F8" w14:textId="6DFD7636" w:rsidR="00745417" w:rsidRDefault="00745417" w:rsidP="002A3022">
      <w:pPr>
        <w:spacing w:line="360" w:lineRule="auto"/>
        <w:jc w:val="both"/>
        <w:rPr>
          <w:rStyle w:val="ng-star-inserted"/>
          <w:rFonts w:ascii="Arial" w:eastAsiaTheme="majorEastAsia" w:hAnsi="Arial" w:cs="Arial"/>
          <w:b/>
          <w:bCs/>
        </w:rPr>
      </w:pPr>
      <w:r w:rsidRPr="00745417">
        <w:rPr>
          <w:rStyle w:val="ng-star-inserted"/>
          <w:rFonts w:ascii="Arial" w:eastAsiaTheme="majorEastAsia" w:hAnsi="Arial" w:cs="Arial"/>
          <w:b/>
          <w:bCs/>
        </w:rPr>
        <w:t xml:space="preserve">3.- </w:t>
      </w:r>
      <w:r w:rsidRPr="00745417">
        <w:rPr>
          <w:rStyle w:val="ng-star-inserted"/>
          <w:rFonts w:ascii="Arial" w:eastAsiaTheme="majorEastAsia" w:hAnsi="Arial" w:cs="Arial"/>
          <w:b/>
          <w:bCs/>
        </w:rPr>
        <w:t>Mecanismos de Implementación y Homologación</w:t>
      </w:r>
    </w:p>
    <w:p w14:paraId="19456C21" w14:textId="77777777" w:rsidR="00745417" w:rsidRPr="00745417" w:rsidRDefault="00745417" w:rsidP="002A3022">
      <w:pPr>
        <w:spacing w:line="360" w:lineRule="auto"/>
        <w:jc w:val="both"/>
        <w:rPr>
          <w:rFonts w:ascii="Arial" w:hAnsi="Arial" w:cs="Arial"/>
          <w:b/>
          <w:bCs/>
        </w:rPr>
      </w:pPr>
    </w:p>
    <w:p w14:paraId="336DB445" w14:textId="1751DFBE"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Para que este Marco Común sea operativo y real, la propuesta incluye adoptar las herramientas prácticas):</w:t>
      </w:r>
    </w:p>
    <w:p w14:paraId="3B08EAD3" w14:textId="77777777" w:rsidR="00745417" w:rsidRPr="00745417" w:rsidRDefault="00745417" w:rsidP="002A3022">
      <w:pPr>
        <w:spacing w:line="360" w:lineRule="auto"/>
        <w:jc w:val="both"/>
        <w:rPr>
          <w:rFonts w:ascii="Arial" w:hAnsi="Arial" w:cs="Arial"/>
        </w:rPr>
      </w:pPr>
    </w:p>
    <w:p w14:paraId="12A97D4E" w14:textId="77777777"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1. </w:t>
      </w:r>
      <w:r w:rsidRPr="00745417">
        <w:rPr>
          <w:rFonts w:ascii="Arial" w:hAnsi="Arial" w:cs="Arial"/>
          <w:b/>
          <w:bCs/>
        </w:rPr>
        <w:t>Diseño de itinerarios formativos comunes:</w:t>
      </w:r>
      <w:r w:rsidRPr="00745417">
        <w:rPr>
          <w:rStyle w:val="ng-star-inserted"/>
          <w:rFonts w:ascii="Arial" w:eastAsiaTheme="majorEastAsia" w:hAnsi="Arial" w:cs="Arial"/>
        </w:rPr>
        <w:t xml:space="preserve"> Vincular directamente la formación con este marco competencial y la acreditación por niveles de dominio (Básico, Intermedio, Avanzado/Experto).</w:t>
      </w:r>
    </w:p>
    <w:p w14:paraId="15D0E85E" w14:textId="77777777" w:rsidR="00745417" w:rsidRPr="00745417" w:rsidRDefault="00745417" w:rsidP="002A3022">
      <w:pPr>
        <w:spacing w:line="360" w:lineRule="auto"/>
        <w:jc w:val="both"/>
        <w:rPr>
          <w:rFonts w:ascii="Arial" w:hAnsi="Arial" w:cs="Arial"/>
        </w:rPr>
      </w:pPr>
    </w:p>
    <w:p w14:paraId="0B38E2B2" w14:textId="77777777"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2. </w:t>
      </w:r>
      <w:r w:rsidRPr="00745417">
        <w:rPr>
          <w:rFonts w:ascii="Arial" w:hAnsi="Arial" w:cs="Arial"/>
          <w:b/>
          <w:bCs/>
        </w:rPr>
        <w:t xml:space="preserve">Sistema de </w:t>
      </w:r>
      <w:proofErr w:type="spellStart"/>
      <w:r w:rsidRPr="00745417">
        <w:rPr>
          <w:rFonts w:ascii="Arial" w:hAnsi="Arial" w:cs="Arial"/>
          <w:b/>
          <w:bCs/>
        </w:rPr>
        <w:t>Microcredenciales</w:t>
      </w:r>
      <w:proofErr w:type="spellEnd"/>
      <w:r w:rsidRPr="00745417">
        <w:rPr>
          <w:rFonts w:ascii="Arial" w:hAnsi="Arial" w:cs="Arial"/>
          <w:b/>
          <w:bCs/>
        </w:rPr>
        <w:t>:</w:t>
      </w:r>
      <w:r w:rsidRPr="00745417">
        <w:rPr>
          <w:rStyle w:val="ng-star-inserted"/>
          <w:rFonts w:ascii="Arial" w:eastAsiaTheme="majorEastAsia" w:hAnsi="Arial" w:cs="Arial"/>
        </w:rPr>
        <w:t xml:space="preserve"> Adoptar la Recomendación europea sobre </w:t>
      </w:r>
      <w:proofErr w:type="spellStart"/>
      <w:r w:rsidRPr="00745417">
        <w:rPr>
          <w:rStyle w:val="ng-star-inserted"/>
          <w:rFonts w:ascii="Arial" w:eastAsiaTheme="majorEastAsia" w:hAnsi="Arial" w:cs="Arial"/>
        </w:rPr>
        <w:t>microcredenciales</w:t>
      </w:r>
      <w:proofErr w:type="spellEnd"/>
      <w:r w:rsidRPr="00745417">
        <w:rPr>
          <w:rStyle w:val="ng-star-inserted"/>
          <w:rFonts w:ascii="Arial" w:eastAsiaTheme="majorEastAsia" w:hAnsi="Arial" w:cs="Arial"/>
        </w:rPr>
        <w:t xml:space="preserve"> para reconocer logros de aprendizaje específicos y flexibles.</w:t>
      </w:r>
    </w:p>
    <w:p w14:paraId="3DF72F8A" w14:textId="77777777" w:rsidR="00745417" w:rsidRPr="00745417" w:rsidRDefault="00745417" w:rsidP="002A3022">
      <w:pPr>
        <w:spacing w:line="360" w:lineRule="auto"/>
        <w:jc w:val="both"/>
        <w:rPr>
          <w:rFonts w:ascii="Arial" w:hAnsi="Arial" w:cs="Arial"/>
        </w:rPr>
      </w:pPr>
    </w:p>
    <w:p w14:paraId="205D7379" w14:textId="77777777" w:rsidR="00745417" w:rsidRDefault="00745417" w:rsidP="002A3022">
      <w:pPr>
        <w:spacing w:line="360" w:lineRule="auto"/>
        <w:jc w:val="both"/>
        <w:rPr>
          <w:rStyle w:val="ng-star-inserted"/>
          <w:rFonts w:ascii="Arial" w:eastAsiaTheme="majorEastAsia" w:hAnsi="Arial" w:cs="Arial"/>
        </w:rPr>
      </w:pPr>
      <w:r w:rsidRPr="00745417">
        <w:rPr>
          <w:rStyle w:val="ng-star-inserted"/>
          <w:rFonts w:ascii="Arial" w:eastAsiaTheme="majorEastAsia" w:hAnsi="Arial" w:cs="Arial"/>
        </w:rPr>
        <w:t xml:space="preserve">3. </w:t>
      </w:r>
      <w:r w:rsidRPr="00745417">
        <w:rPr>
          <w:rFonts w:ascii="Arial" w:hAnsi="Arial" w:cs="Arial"/>
          <w:b/>
          <w:bCs/>
        </w:rPr>
        <w:t>Identidad Visual Compartida:</w:t>
      </w:r>
      <w:r w:rsidRPr="00745417">
        <w:rPr>
          <w:rStyle w:val="ng-star-inserted"/>
          <w:rFonts w:ascii="Arial" w:eastAsiaTheme="majorEastAsia" w:hAnsi="Arial" w:cs="Arial"/>
        </w:rPr>
        <w:t xml:space="preserve"> Creación de un </w:t>
      </w:r>
      <w:r w:rsidRPr="00745417">
        <w:rPr>
          <w:rFonts w:ascii="Arial" w:hAnsi="Arial" w:cs="Arial"/>
          <w:b/>
          <w:bCs/>
        </w:rPr>
        <w:t>logotipo común</w:t>
      </w:r>
      <w:r w:rsidRPr="00745417">
        <w:rPr>
          <w:rStyle w:val="ng-star-inserted"/>
          <w:rFonts w:ascii="Arial" w:eastAsiaTheme="majorEastAsia" w:hAnsi="Arial" w:cs="Arial"/>
        </w:rPr>
        <w:t xml:space="preserve"> que actúe como sello de calidad institucional para las certificaciones homologables en todas las CCAA.</w:t>
      </w:r>
    </w:p>
    <w:p w14:paraId="255C5DB3" w14:textId="77777777" w:rsidR="00745417" w:rsidRPr="00745417" w:rsidRDefault="00745417" w:rsidP="002A3022">
      <w:pPr>
        <w:spacing w:line="360" w:lineRule="auto"/>
        <w:jc w:val="both"/>
        <w:rPr>
          <w:rFonts w:ascii="Arial" w:hAnsi="Arial" w:cs="Arial"/>
        </w:rPr>
      </w:pPr>
    </w:p>
    <w:p w14:paraId="3C23B443" w14:textId="77777777" w:rsidR="00745417" w:rsidRPr="00745417" w:rsidRDefault="00745417" w:rsidP="002A3022">
      <w:pPr>
        <w:spacing w:line="360" w:lineRule="auto"/>
        <w:jc w:val="both"/>
        <w:rPr>
          <w:rFonts w:ascii="Arial" w:hAnsi="Arial" w:cs="Arial"/>
        </w:rPr>
      </w:pPr>
      <w:r w:rsidRPr="00745417">
        <w:rPr>
          <w:rStyle w:val="ng-star-inserted"/>
          <w:rFonts w:ascii="Arial" w:eastAsiaTheme="majorEastAsia" w:hAnsi="Arial" w:cs="Arial"/>
        </w:rPr>
        <w:t xml:space="preserve">4. </w:t>
      </w:r>
      <w:r w:rsidRPr="00745417">
        <w:rPr>
          <w:rFonts w:ascii="Arial" w:hAnsi="Arial" w:cs="Arial"/>
          <w:b/>
          <w:bCs/>
        </w:rPr>
        <w:t>Financiación FEDAP:</w:t>
      </w:r>
      <w:r w:rsidRPr="00745417">
        <w:rPr>
          <w:rStyle w:val="ng-star-inserted"/>
          <w:rFonts w:ascii="Arial" w:eastAsiaTheme="majorEastAsia" w:hAnsi="Arial" w:cs="Arial"/>
        </w:rPr>
        <w:t xml:space="preserve"> Incorporar una línea de financiación específica en el sistema de Fondos para la Formación para el Empleo en las Administraciones Públicas para desarrollar este ecosistema.</w:t>
      </w:r>
    </w:p>
    <w:p w14:paraId="612CFC6D" w14:textId="77777777" w:rsidR="00AC27B2" w:rsidRPr="00745417" w:rsidRDefault="00AC27B2" w:rsidP="002A3022">
      <w:pPr>
        <w:spacing w:line="360" w:lineRule="auto"/>
        <w:jc w:val="both"/>
        <w:rPr>
          <w:rFonts w:ascii="Arial" w:hAnsi="Arial" w:cs="Arial"/>
        </w:rPr>
      </w:pPr>
    </w:p>
    <w:p w14:paraId="6230758B" w14:textId="77777777" w:rsidR="002A3022" w:rsidRPr="00745417" w:rsidRDefault="002A3022">
      <w:pPr>
        <w:spacing w:line="360" w:lineRule="auto"/>
        <w:jc w:val="both"/>
        <w:rPr>
          <w:rFonts w:ascii="Arial" w:hAnsi="Arial" w:cs="Arial"/>
        </w:rPr>
      </w:pPr>
    </w:p>
    <w:sectPr w:rsidR="002A3022" w:rsidRPr="007454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2523" w14:textId="77777777" w:rsidR="00547A69" w:rsidRDefault="00547A69" w:rsidP="002A3022">
      <w:r>
        <w:separator/>
      </w:r>
    </w:p>
  </w:endnote>
  <w:endnote w:type="continuationSeparator" w:id="0">
    <w:p w14:paraId="2142F42D" w14:textId="77777777" w:rsidR="00547A69" w:rsidRDefault="00547A69" w:rsidP="002A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3326282"/>
      <w:docPartObj>
        <w:docPartGallery w:val="Page Numbers (Bottom of Page)"/>
        <w:docPartUnique/>
      </w:docPartObj>
    </w:sdtPr>
    <w:sdtContent>
      <w:p w14:paraId="38360EEB" w14:textId="16DE8213" w:rsidR="002A3022" w:rsidRDefault="002A3022" w:rsidP="001624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6B27B6D" w14:textId="77777777" w:rsidR="002A3022" w:rsidRDefault="002A3022" w:rsidP="002A30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66313436"/>
      <w:docPartObj>
        <w:docPartGallery w:val="Page Numbers (Bottom of Page)"/>
        <w:docPartUnique/>
      </w:docPartObj>
    </w:sdtPr>
    <w:sdtContent>
      <w:p w14:paraId="4E1AA855" w14:textId="77ADE6A2" w:rsidR="002A3022" w:rsidRDefault="002A3022" w:rsidP="001624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04E7DD1F" w14:textId="77777777" w:rsidR="002A3022" w:rsidRDefault="002A3022" w:rsidP="002A30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4AF8" w14:textId="77777777" w:rsidR="00547A69" w:rsidRDefault="00547A69" w:rsidP="002A3022">
      <w:r>
        <w:separator/>
      </w:r>
    </w:p>
  </w:footnote>
  <w:footnote w:type="continuationSeparator" w:id="0">
    <w:p w14:paraId="270A86D3" w14:textId="77777777" w:rsidR="00547A69" w:rsidRDefault="00547A69" w:rsidP="002A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5910"/>
    <w:multiLevelType w:val="hybridMultilevel"/>
    <w:tmpl w:val="447007E8"/>
    <w:lvl w:ilvl="0" w:tplc="8C889FF0">
      <w:start w:val="2"/>
      <w:numFmt w:val="bullet"/>
      <w:lvlText w:val="-"/>
      <w:lvlJc w:val="left"/>
      <w:pPr>
        <w:ind w:left="720" w:hanging="360"/>
      </w:pPr>
      <w:rPr>
        <w:rFonts w:ascii="Arial" w:eastAsiaTheme="maj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6190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87"/>
    <w:rsid w:val="002A3022"/>
    <w:rsid w:val="002B48E4"/>
    <w:rsid w:val="0034786C"/>
    <w:rsid w:val="00471A49"/>
    <w:rsid w:val="00537441"/>
    <w:rsid w:val="00547A69"/>
    <w:rsid w:val="00745417"/>
    <w:rsid w:val="009E1D87"/>
    <w:rsid w:val="00AC27B2"/>
    <w:rsid w:val="00C27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E368C8C"/>
  <w15:chartTrackingRefBased/>
  <w15:docId w15:val="{92EF303C-A3EF-6A46-9154-35ECF2B7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87"/>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9E1D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9E1D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9E1D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9E1D8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9E1D8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9E1D8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9E1D8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9E1D8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9E1D8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1D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1D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1D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1D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1D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1D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1D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1D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1D87"/>
    <w:rPr>
      <w:rFonts w:eastAsiaTheme="majorEastAsia" w:cstheme="majorBidi"/>
      <w:color w:val="272727" w:themeColor="text1" w:themeTint="D8"/>
    </w:rPr>
  </w:style>
  <w:style w:type="paragraph" w:styleId="Ttulo">
    <w:name w:val="Title"/>
    <w:basedOn w:val="Normal"/>
    <w:next w:val="Normal"/>
    <w:link w:val="TtuloCar"/>
    <w:uiPriority w:val="10"/>
    <w:qFormat/>
    <w:rsid w:val="009E1D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E1D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1D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E1D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1D8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9E1D87"/>
    <w:rPr>
      <w:i/>
      <w:iCs/>
      <w:color w:val="404040" w:themeColor="text1" w:themeTint="BF"/>
    </w:rPr>
  </w:style>
  <w:style w:type="paragraph" w:styleId="Prrafodelista">
    <w:name w:val="List Paragraph"/>
    <w:basedOn w:val="Normal"/>
    <w:uiPriority w:val="34"/>
    <w:qFormat/>
    <w:rsid w:val="009E1D8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9E1D87"/>
    <w:rPr>
      <w:i/>
      <w:iCs/>
      <w:color w:val="0F4761" w:themeColor="accent1" w:themeShade="BF"/>
    </w:rPr>
  </w:style>
  <w:style w:type="paragraph" w:styleId="Citadestacada">
    <w:name w:val="Intense Quote"/>
    <w:basedOn w:val="Normal"/>
    <w:next w:val="Normal"/>
    <w:link w:val="CitadestacadaCar"/>
    <w:uiPriority w:val="30"/>
    <w:qFormat/>
    <w:rsid w:val="009E1D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9E1D87"/>
    <w:rPr>
      <w:i/>
      <w:iCs/>
      <w:color w:val="0F4761" w:themeColor="accent1" w:themeShade="BF"/>
    </w:rPr>
  </w:style>
  <w:style w:type="character" w:styleId="Referenciaintensa">
    <w:name w:val="Intense Reference"/>
    <w:basedOn w:val="Fuentedeprrafopredeter"/>
    <w:uiPriority w:val="32"/>
    <w:qFormat/>
    <w:rsid w:val="009E1D87"/>
    <w:rPr>
      <w:b/>
      <w:bCs/>
      <w:smallCaps/>
      <w:color w:val="0F4761" w:themeColor="accent1" w:themeShade="BF"/>
      <w:spacing w:val="5"/>
    </w:rPr>
  </w:style>
  <w:style w:type="character" w:customStyle="1" w:styleId="ng-star-inserted">
    <w:name w:val="ng-star-inserted"/>
    <w:basedOn w:val="Fuentedeprrafopredeter"/>
    <w:rsid w:val="009E1D87"/>
  </w:style>
  <w:style w:type="paragraph" w:styleId="Piedepgina">
    <w:name w:val="footer"/>
    <w:basedOn w:val="Normal"/>
    <w:link w:val="PiedepginaCar"/>
    <w:uiPriority w:val="99"/>
    <w:unhideWhenUsed/>
    <w:rsid w:val="002A3022"/>
    <w:pPr>
      <w:tabs>
        <w:tab w:val="center" w:pos="4252"/>
        <w:tab w:val="right" w:pos="8504"/>
      </w:tabs>
    </w:pPr>
  </w:style>
  <w:style w:type="character" w:customStyle="1" w:styleId="PiedepginaCar">
    <w:name w:val="Pie de página Car"/>
    <w:basedOn w:val="Fuentedeprrafopredeter"/>
    <w:link w:val="Piedepgina"/>
    <w:uiPriority w:val="99"/>
    <w:rsid w:val="002A3022"/>
    <w:rPr>
      <w:rFonts w:ascii="Times New Roman" w:eastAsia="Times New Roman" w:hAnsi="Times New Roman" w:cs="Times New Roman"/>
      <w:kern w:val="0"/>
      <w:lang w:eastAsia="es-ES_tradnl"/>
      <w14:ligatures w14:val="none"/>
    </w:rPr>
  </w:style>
  <w:style w:type="character" w:styleId="Nmerodepgina">
    <w:name w:val="page number"/>
    <w:basedOn w:val="Fuentedeprrafopredeter"/>
    <w:uiPriority w:val="99"/>
    <w:semiHidden/>
    <w:unhideWhenUsed/>
    <w:rsid w:val="002A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2018</Words>
  <Characters>12456</Characters>
  <Application>Microsoft Office Word</Application>
  <DocSecurity>0</DocSecurity>
  <Lines>235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Cerreda Marcos</dc:creator>
  <cp:keywords/>
  <dc:description/>
  <cp:lastModifiedBy>Almeida Cerreda Marcos</cp:lastModifiedBy>
  <cp:revision>3</cp:revision>
  <dcterms:created xsi:type="dcterms:W3CDTF">2026-02-24T12:46:00Z</dcterms:created>
  <dcterms:modified xsi:type="dcterms:W3CDTF">2026-02-24T13:24:00Z</dcterms:modified>
</cp:coreProperties>
</file>